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0374A" w14:textId="1AAAFB62" w:rsidR="00B42729" w:rsidRPr="00CE55FA" w:rsidRDefault="00B64EB7" w:rsidP="00B64EB7">
      <w:pPr>
        <w:autoSpaceDE w:val="0"/>
        <w:autoSpaceDN w:val="0"/>
        <w:adjustRightInd w:val="0"/>
        <w:spacing w:after="0"/>
        <w:ind w:left="2124" w:hanging="2124"/>
        <w:contextualSpacing/>
        <w:jc w:val="both"/>
        <w:rPr>
          <w:b/>
          <w:bCs/>
          <w:sz w:val="24"/>
          <w:szCs w:val="24"/>
        </w:rPr>
      </w:pPr>
      <w:r>
        <w:rPr>
          <w:b/>
          <w:bCs/>
          <w:sz w:val="24"/>
          <w:szCs w:val="24"/>
        </w:rPr>
        <w:t>Vergabeverfahren:</w:t>
      </w:r>
      <w:r>
        <w:rPr>
          <w:b/>
          <w:bCs/>
          <w:sz w:val="24"/>
          <w:szCs w:val="24"/>
        </w:rPr>
        <w:tab/>
      </w:r>
      <w:r w:rsidR="00954008" w:rsidRPr="00954008">
        <w:rPr>
          <w:b/>
          <w:bCs/>
          <w:sz w:val="24"/>
          <w:szCs w:val="24"/>
        </w:rPr>
        <w:t>Generalplanungsleistungen für den Umbau und die Sanierung des Gasthofes Strehla O</w:t>
      </w:r>
      <w:r w:rsidR="00954008">
        <w:rPr>
          <w:b/>
          <w:bCs/>
          <w:sz w:val="24"/>
          <w:szCs w:val="24"/>
        </w:rPr>
        <w:t xml:space="preserve">T </w:t>
      </w:r>
      <w:proofErr w:type="spellStart"/>
      <w:r w:rsidR="00954008" w:rsidRPr="00954008">
        <w:rPr>
          <w:b/>
          <w:bCs/>
          <w:sz w:val="24"/>
          <w:szCs w:val="24"/>
        </w:rPr>
        <w:t>Paußnitz</w:t>
      </w:r>
      <w:proofErr w:type="spellEnd"/>
      <w:r w:rsidR="00954008" w:rsidRPr="00954008">
        <w:rPr>
          <w:b/>
          <w:bCs/>
          <w:sz w:val="24"/>
          <w:szCs w:val="24"/>
        </w:rPr>
        <w:t xml:space="preserve"> in eine Feuerwehr</w:t>
      </w:r>
    </w:p>
    <w:p w14:paraId="11B5C5BD" w14:textId="10BB7EE0" w:rsidR="00B42729" w:rsidRPr="00CE55FA" w:rsidRDefault="00B42729" w:rsidP="00B64EB7">
      <w:pPr>
        <w:autoSpaceDE w:val="0"/>
        <w:autoSpaceDN w:val="0"/>
        <w:adjustRightInd w:val="0"/>
        <w:spacing w:after="0"/>
        <w:ind w:left="2124" w:hanging="2124"/>
        <w:contextualSpacing/>
        <w:rPr>
          <w:b/>
          <w:bCs/>
          <w:sz w:val="24"/>
          <w:szCs w:val="24"/>
        </w:rPr>
      </w:pPr>
      <w:r w:rsidRPr="00CE55FA">
        <w:rPr>
          <w:b/>
          <w:bCs/>
          <w:sz w:val="24"/>
          <w:szCs w:val="24"/>
        </w:rPr>
        <w:t>Vergabenummer:</w:t>
      </w:r>
      <w:r w:rsidRPr="00CE55FA">
        <w:rPr>
          <w:b/>
          <w:bCs/>
          <w:sz w:val="24"/>
          <w:szCs w:val="24"/>
        </w:rPr>
        <w:tab/>
        <w:t>0</w:t>
      </w:r>
      <w:r w:rsidR="00954008">
        <w:rPr>
          <w:b/>
          <w:bCs/>
          <w:sz w:val="24"/>
          <w:szCs w:val="24"/>
        </w:rPr>
        <w:t>1/2024</w:t>
      </w:r>
    </w:p>
    <w:p w14:paraId="056F8B74" w14:textId="068E574B" w:rsidR="00B42729" w:rsidRPr="00CE55FA" w:rsidRDefault="00B42729" w:rsidP="00B64EB7">
      <w:pPr>
        <w:autoSpaceDE w:val="0"/>
        <w:autoSpaceDN w:val="0"/>
        <w:adjustRightInd w:val="0"/>
        <w:spacing w:after="0"/>
        <w:ind w:left="2124" w:hanging="2124"/>
        <w:contextualSpacing/>
        <w:rPr>
          <w:b/>
          <w:bCs/>
          <w:sz w:val="24"/>
          <w:szCs w:val="24"/>
        </w:rPr>
      </w:pPr>
      <w:r w:rsidRPr="00CE55FA">
        <w:rPr>
          <w:b/>
          <w:bCs/>
          <w:sz w:val="24"/>
          <w:szCs w:val="24"/>
        </w:rPr>
        <w:t>Vergabe-ID:</w:t>
      </w:r>
      <w:r w:rsidRPr="00CE55FA">
        <w:rPr>
          <w:b/>
          <w:bCs/>
          <w:sz w:val="24"/>
          <w:szCs w:val="24"/>
        </w:rPr>
        <w:tab/>
      </w:r>
      <w:r w:rsidR="00954008" w:rsidRPr="00954008">
        <w:rPr>
          <w:b/>
          <w:bCs/>
          <w:sz w:val="24"/>
          <w:szCs w:val="24"/>
        </w:rPr>
        <w:t>3099468</w:t>
      </w:r>
    </w:p>
    <w:p w14:paraId="23459691" w14:textId="77777777" w:rsidR="00B42729" w:rsidRDefault="00B42729" w:rsidP="00B42729">
      <w:pPr>
        <w:autoSpaceDE w:val="0"/>
        <w:autoSpaceDN w:val="0"/>
        <w:adjustRightInd w:val="0"/>
        <w:spacing w:after="0" w:line="240" w:lineRule="auto"/>
        <w:ind w:left="2124" w:hanging="2124"/>
        <w:contextualSpacing/>
        <w:rPr>
          <w:sz w:val="24"/>
          <w:szCs w:val="24"/>
        </w:rPr>
      </w:pPr>
    </w:p>
    <w:p w14:paraId="76D41AC4" w14:textId="77777777" w:rsidR="00B64EB7" w:rsidRPr="00CE55FA" w:rsidRDefault="00B64EB7" w:rsidP="00B42729">
      <w:pPr>
        <w:autoSpaceDE w:val="0"/>
        <w:autoSpaceDN w:val="0"/>
        <w:adjustRightInd w:val="0"/>
        <w:spacing w:after="0" w:line="240" w:lineRule="auto"/>
        <w:ind w:left="2124" w:hanging="2124"/>
        <w:contextualSpacing/>
        <w:rPr>
          <w:sz w:val="24"/>
          <w:szCs w:val="24"/>
        </w:rPr>
      </w:pPr>
    </w:p>
    <w:p w14:paraId="3FADFFB5" w14:textId="264140D4" w:rsidR="00B42729" w:rsidRPr="00CE55FA" w:rsidRDefault="00B42729" w:rsidP="00B42729">
      <w:pPr>
        <w:autoSpaceDE w:val="0"/>
        <w:autoSpaceDN w:val="0"/>
        <w:adjustRightInd w:val="0"/>
        <w:spacing w:after="0" w:line="240" w:lineRule="auto"/>
        <w:ind w:left="2124" w:hanging="2124"/>
        <w:contextualSpacing/>
        <w:rPr>
          <w:sz w:val="24"/>
          <w:szCs w:val="24"/>
          <w:u w:val="single"/>
        </w:rPr>
      </w:pPr>
      <w:r w:rsidRPr="00CE55FA">
        <w:rPr>
          <w:sz w:val="24"/>
          <w:szCs w:val="24"/>
          <w:u w:val="single"/>
        </w:rPr>
        <w:t>Teilnehmerfragen</w:t>
      </w:r>
      <w:r w:rsidR="00954008">
        <w:rPr>
          <w:sz w:val="24"/>
          <w:szCs w:val="24"/>
          <w:u w:val="single"/>
        </w:rPr>
        <w:t>:</w:t>
      </w:r>
    </w:p>
    <w:p w14:paraId="6A8BD73C" w14:textId="77777777" w:rsidR="00B42729" w:rsidRDefault="00B42729" w:rsidP="00B42729">
      <w:pPr>
        <w:autoSpaceDE w:val="0"/>
        <w:autoSpaceDN w:val="0"/>
        <w:adjustRightInd w:val="0"/>
        <w:spacing w:after="0" w:line="240" w:lineRule="auto"/>
        <w:ind w:left="2124" w:hanging="2124"/>
        <w:contextualSpacing/>
        <w:rPr>
          <w:sz w:val="24"/>
          <w:szCs w:val="24"/>
          <w:u w:val="single"/>
        </w:rPr>
      </w:pPr>
    </w:p>
    <w:tbl>
      <w:tblPr>
        <w:tblStyle w:val="Tabellenraster"/>
        <w:tblW w:w="9214" w:type="dxa"/>
        <w:tblInd w:w="108" w:type="dxa"/>
        <w:tblLook w:val="04A0" w:firstRow="1" w:lastRow="0" w:firstColumn="1" w:lastColumn="0" w:noHBand="0" w:noVBand="1"/>
      </w:tblPr>
      <w:tblGrid>
        <w:gridCol w:w="1985"/>
        <w:gridCol w:w="7229"/>
      </w:tblGrid>
      <w:tr w:rsidR="00B64EB7" w14:paraId="39F7272E" w14:textId="77777777" w:rsidTr="00B64EB7">
        <w:tc>
          <w:tcPr>
            <w:tcW w:w="1985" w:type="dxa"/>
          </w:tcPr>
          <w:p w14:paraId="278367DF" w14:textId="3AD0CA15" w:rsidR="00B64EB7" w:rsidRDefault="00B64EB7" w:rsidP="00B42729">
            <w:pPr>
              <w:autoSpaceDE w:val="0"/>
              <w:autoSpaceDN w:val="0"/>
              <w:adjustRightInd w:val="0"/>
              <w:contextualSpacing/>
              <w:rPr>
                <w:sz w:val="24"/>
                <w:szCs w:val="24"/>
                <w:u w:val="single"/>
              </w:rPr>
            </w:pPr>
            <w:r w:rsidRPr="00CE55FA">
              <w:rPr>
                <w:b/>
                <w:bCs/>
                <w:sz w:val="24"/>
                <w:szCs w:val="24"/>
              </w:rPr>
              <w:t>Frage 1</w:t>
            </w:r>
          </w:p>
        </w:tc>
        <w:tc>
          <w:tcPr>
            <w:tcW w:w="7229" w:type="dxa"/>
          </w:tcPr>
          <w:p w14:paraId="7734A6FD" w14:textId="6A796608" w:rsidR="00B64EB7" w:rsidRDefault="00B64EB7" w:rsidP="00B42729">
            <w:pPr>
              <w:autoSpaceDE w:val="0"/>
              <w:autoSpaceDN w:val="0"/>
              <w:adjustRightInd w:val="0"/>
              <w:contextualSpacing/>
              <w:rPr>
                <w:sz w:val="24"/>
                <w:szCs w:val="24"/>
                <w:u w:val="single"/>
              </w:rPr>
            </w:pPr>
            <w:r>
              <w:rPr>
                <w:sz w:val="24"/>
                <w:szCs w:val="24"/>
              </w:rPr>
              <w:t>I</w:t>
            </w:r>
            <w:r w:rsidRPr="00954008">
              <w:rPr>
                <w:sz w:val="24"/>
                <w:szCs w:val="24"/>
              </w:rPr>
              <w:t>n den Verfahrensunterlagen wird angegeben, dass eine "Referenz für Generalplanungsleistungen für vergleichbare Gebäude (Neubau) in den vergangenen drei Jahren..." zu erbringen ist. Bei dem ausgeschriebenen Vorhaben handelt es sich allerdings nicht um einen Neubau. Kann auch eine Referenz für eine Generalplanung eines Umbau- oder Sanierungsprojekts erbracht werden</w:t>
            </w:r>
            <w:r>
              <w:rPr>
                <w:sz w:val="24"/>
                <w:szCs w:val="24"/>
              </w:rPr>
              <w:t>?</w:t>
            </w:r>
          </w:p>
        </w:tc>
      </w:tr>
      <w:tr w:rsidR="00B64EB7" w14:paraId="3CA6983C" w14:textId="77777777" w:rsidTr="00B64EB7">
        <w:tc>
          <w:tcPr>
            <w:tcW w:w="1985" w:type="dxa"/>
          </w:tcPr>
          <w:p w14:paraId="59A6DF82" w14:textId="76E56BCE" w:rsidR="00B64EB7" w:rsidRDefault="00B64EB7" w:rsidP="00B42729">
            <w:pPr>
              <w:autoSpaceDE w:val="0"/>
              <w:autoSpaceDN w:val="0"/>
              <w:adjustRightInd w:val="0"/>
              <w:contextualSpacing/>
              <w:rPr>
                <w:sz w:val="24"/>
                <w:szCs w:val="24"/>
                <w:u w:val="single"/>
              </w:rPr>
            </w:pPr>
            <w:r w:rsidRPr="00CE55FA">
              <w:rPr>
                <w:b/>
                <w:bCs/>
                <w:sz w:val="24"/>
                <w:szCs w:val="24"/>
              </w:rPr>
              <w:t>Antwort 1</w:t>
            </w:r>
          </w:p>
        </w:tc>
        <w:tc>
          <w:tcPr>
            <w:tcW w:w="7229" w:type="dxa"/>
          </w:tcPr>
          <w:p w14:paraId="71D96939" w14:textId="7620FC3B" w:rsidR="00B64EB7" w:rsidRDefault="00B64EB7" w:rsidP="00B42729">
            <w:pPr>
              <w:autoSpaceDE w:val="0"/>
              <w:autoSpaceDN w:val="0"/>
              <w:adjustRightInd w:val="0"/>
              <w:contextualSpacing/>
              <w:rPr>
                <w:sz w:val="24"/>
                <w:szCs w:val="24"/>
                <w:u w:val="single"/>
              </w:rPr>
            </w:pPr>
            <w:r>
              <w:rPr>
                <w:sz w:val="24"/>
                <w:szCs w:val="24"/>
              </w:rPr>
              <w:t>Es kann auch eine Referenz für eine Generalplanung eines Umbau- oder Sanierungsobjektes erbracht werden.</w:t>
            </w:r>
          </w:p>
        </w:tc>
      </w:tr>
      <w:tr w:rsidR="00B64EB7" w14:paraId="441C1B48" w14:textId="77777777" w:rsidTr="00B64EB7">
        <w:tc>
          <w:tcPr>
            <w:tcW w:w="1985" w:type="dxa"/>
          </w:tcPr>
          <w:p w14:paraId="5B8CF629" w14:textId="07CB5C65" w:rsidR="00B64EB7" w:rsidRPr="00CE55FA" w:rsidRDefault="00B64EB7" w:rsidP="00B42729">
            <w:pPr>
              <w:autoSpaceDE w:val="0"/>
              <w:autoSpaceDN w:val="0"/>
              <w:adjustRightInd w:val="0"/>
              <w:contextualSpacing/>
              <w:rPr>
                <w:b/>
                <w:bCs/>
                <w:sz w:val="24"/>
                <w:szCs w:val="24"/>
              </w:rPr>
            </w:pPr>
            <w:r w:rsidRPr="00CE55FA">
              <w:rPr>
                <w:b/>
                <w:bCs/>
                <w:sz w:val="24"/>
                <w:szCs w:val="24"/>
              </w:rPr>
              <w:t xml:space="preserve">Frage </w:t>
            </w:r>
            <w:r>
              <w:rPr>
                <w:b/>
                <w:bCs/>
                <w:sz w:val="24"/>
                <w:szCs w:val="24"/>
              </w:rPr>
              <w:t>2</w:t>
            </w:r>
          </w:p>
        </w:tc>
        <w:tc>
          <w:tcPr>
            <w:tcW w:w="7229" w:type="dxa"/>
          </w:tcPr>
          <w:p w14:paraId="49CC77C8" w14:textId="222BC3C0" w:rsidR="00B64EB7" w:rsidRDefault="00B64EB7" w:rsidP="00B42729">
            <w:pPr>
              <w:autoSpaceDE w:val="0"/>
              <w:autoSpaceDN w:val="0"/>
              <w:adjustRightInd w:val="0"/>
              <w:contextualSpacing/>
              <w:rPr>
                <w:sz w:val="24"/>
                <w:szCs w:val="24"/>
              </w:rPr>
            </w:pPr>
            <w:r w:rsidRPr="004C0189">
              <w:rPr>
                <w:sz w:val="24"/>
                <w:szCs w:val="24"/>
              </w:rPr>
              <w:t>Unter Punkt 16.3 steht: "Angabe von einer Referenz gemäß § 75 Abs. 5 VgV für Generalplanungsleistungen für vergleichbare Bauten (Neubau) in den vergangenen drei Jahren (2021, 2022, 2023) einschließlich der nachbenannten Angaben.". In den nachbenannten Angaben steht "Projektlaufzeit (mindestens 1 x LPH 2-8)". Liege ich richtig in der Annahme, dass sich die Referenz für die Generalplanungsleistung noch in den frühen Leistungsphasen befinden kann und nicht abgeschlossen sein muss, wenn eine der anderen Referenzen die LPH 2-8 abdeckt</w:t>
            </w:r>
            <w:r>
              <w:rPr>
                <w:sz w:val="24"/>
                <w:szCs w:val="24"/>
              </w:rPr>
              <w:t>?</w:t>
            </w:r>
          </w:p>
        </w:tc>
      </w:tr>
      <w:tr w:rsidR="00B64EB7" w14:paraId="5A9F6F0F" w14:textId="77777777" w:rsidTr="00B64EB7">
        <w:tc>
          <w:tcPr>
            <w:tcW w:w="1985" w:type="dxa"/>
          </w:tcPr>
          <w:p w14:paraId="6990AA42" w14:textId="04C7DE13" w:rsidR="00B64EB7" w:rsidRPr="00CE55FA" w:rsidRDefault="00B64EB7" w:rsidP="00B42729">
            <w:pPr>
              <w:autoSpaceDE w:val="0"/>
              <w:autoSpaceDN w:val="0"/>
              <w:adjustRightInd w:val="0"/>
              <w:contextualSpacing/>
              <w:rPr>
                <w:b/>
                <w:bCs/>
                <w:sz w:val="24"/>
                <w:szCs w:val="24"/>
              </w:rPr>
            </w:pPr>
            <w:r w:rsidRPr="00CE55FA">
              <w:rPr>
                <w:b/>
                <w:bCs/>
                <w:sz w:val="24"/>
                <w:szCs w:val="24"/>
              </w:rPr>
              <w:t xml:space="preserve">Antwort </w:t>
            </w:r>
            <w:r>
              <w:rPr>
                <w:b/>
                <w:bCs/>
                <w:sz w:val="24"/>
                <w:szCs w:val="24"/>
              </w:rPr>
              <w:t>2</w:t>
            </w:r>
          </w:p>
        </w:tc>
        <w:tc>
          <w:tcPr>
            <w:tcW w:w="7229" w:type="dxa"/>
          </w:tcPr>
          <w:p w14:paraId="6DE08D73" w14:textId="5DD15677" w:rsidR="00B64EB7" w:rsidRPr="004C0189" w:rsidRDefault="00B64EB7" w:rsidP="00B42729">
            <w:pPr>
              <w:autoSpaceDE w:val="0"/>
              <w:autoSpaceDN w:val="0"/>
              <w:adjustRightInd w:val="0"/>
              <w:contextualSpacing/>
              <w:rPr>
                <w:sz w:val="24"/>
                <w:szCs w:val="24"/>
              </w:rPr>
            </w:pPr>
            <w:r>
              <w:rPr>
                <w:sz w:val="24"/>
                <w:szCs w:val="24"/>
              </w:rPr>
              <w:t>Mit Ihrer Annahme liegen Sie richtig.</w:t>
            </w:r>
          </w:p>
        </w:tc>
      </w:tr>
      <w:tr w:rsidR="00B64EB7" w14:paraId="0F58F76A" w14:textId="77777777" w:rsidTr="00B64EB7">
        <w:tc>
          <w:tcPr>
            <w:tcW w:w="1985" w:type="dxa"/>
          </w:tcPr>
          <w:p w14:paraId="2D440F4E" w14:textId="3491033D" w:rsidR="00B64EB7" w:rsidRPr="00CE55FA" w:rsidRDefault="00B64EB7" w:rsidP="00B42729">
            <w:pPr>
              <w:autoSpaceDE w:val="0"/>
              <w:autoSpaceDN w:val="0"/>
              <w:adjustRightInd w:val="0"/>
              <w:contextualSpacing/>
              <w:rPr>
                <w:b/>
                <w:bCs/>
                <w:sz w:val="24"/>
                <w:szCs w:val="24"/>
              </w:rPr>
            </w:pPr>
            <w:r>
              <w:rPr>
                <w:b/>
                <w:bCs/>
                <w:sz w:val="24"/>
                <w:szCs w:val="24"/>
              </w:rPr>
              <w:t>Frage 3</w:t>
            </w:r>
          </w:p>
        </w:tc>
        <w:tc>
          <w:tcPr>
            <w:tcW w:w="7229" w:type="dxa"/>
          </w:tcPr>
          <w:p w14:paraId="270BEB92" w14:textId="2BC3B9CE" w:rsidR="00B64EB7" w:rsidRPr="00B64EB7" w:rsidRDefault="00B64EB7" w:rsidP="00B42729">
            <w:pPr>
              <w:autoSpaceDE w:val="0"/>
              <w:autoSpaceDN w:val="0"/>
              <w:adjustRightInd w:val="0"/>
              <w:contextualSpacing/>
              <w:rPr>
                <w:sz w:val="24"/>
                <w:szCs w:val="24"/>
              </w:rPr>
            </w:pPr>
            <w:r w:rsidRPr="00B64EB7">
              <w:rPr>
                <w:sz w:val="24"/>
                <w:szCs w:val="24"/>
              </w:rPr>
              <w:t>Wir möchten uns als Bietergemeinschaft bewerben. Die Bewertung des jährlichen Gesamtumsatzes berechnet sich dann aus der Summe der einzelnen Bieter?</w:t>
            </w:r>
          </w:p>
        </w:tc>
      </w:tr>
      <w:tr w:rsidR="00B64EB7" w14:paraId="50F6F620" w14:textId="77777777" w:rsidTr="00B64EB7">
        <w:tc>
          <w:tcPr>
            <w:tcW w:w="1985" w:type="dxa"/>
          </w:tcPr>
          <w:p w14:paraId="1D8239A3" w14:textId="1F548701" w:rsidR="00B64EB7" w:rsidRDefault="00B64EB7" w:rsidP="00B42729">
            <w:pPr>
              <w:autoSpaceDE w:val="0"/>
              <w:autoSpaceDN w:val="0"/>
              <w:adjustRightInd w:val="0"/>
              <w:contextualSpacing/>
              <w:rPr>
                <w:b/>
                <w:bCs/>
                <w:sz w:val="24"/>
                <w:szCs w:val="24"/>
              </w:rPr>
            </w:pPr>
            <w:r>
              <w:rPr>
                <w:b/>
                <w:bCs/>
                <w:sz w:val="24"/>
                <w:szCs w:val="24"/>
              </w:rPr>
              <w:t>Antwort 3</w:t>
            </w:r>
          </w:p>
        </w:tc>
        <w:tc>
          <w:tcPr>
            <w:tcW w:w="7229" w:type="dxa"/>
          </w:tcPr>
          <w:p w14:paraId="27E9D757" w14:textId="51FF0BD3" w:rsidR="00B64EB7" w:rsidRPr="00B64EB7" w:rsidRDefault="00A5501B" w:rsidP="00B42729">
            <w:pPr>
              <w:autoSpaceDE w:val="0"/>
              <w:autoSpaceDN w:val="0"/>
              <w:adjustRightInd w:val="0"/>
              <w:contextualSpacing/>
              <w:rPr>
                <w:sz w:val="24"/>
                <w:szCs w:val="24"/>
              </w:rPr>
            </w:pPr>
            <w:r>
              <w:rPr>
                <w:sz w:val="24"/>
                <w:szCs w:val="24"/>
              </w:rPr>
              <w:t>Ja, die Bewertung des jährlichen Gesamtumsatzes berechnet sich dann aus der Summe der einzelnen Bieter.</w:t>
            </w:r>
          </w:p>
        </w:tc>
      </w:tr>
    </w:tbl>
    <w:p w14:paraId="0DC56F90" w14:textId="77777777" w:rsidR="00B64EB7" w:rsidRDefault="00B64EB7" w:rsidP="00B42729">
      <w:pPr>
        <w:autoSpaceDE w:val="0"/>
        <w:autoSpaceDN w:val="0"/>
        <w:adjustRightInd w:val="0"/>
        <w:spacing w:after="0" w:line="240" w:lineRule="auto"/>
        <w:ind w:left="2124" w:hanging="2124"/>
        <w:contextualSpacing/>
        <w:rPr>
          <w:sz w:val="24"/>
          <w:szCs w:val="24"/>
          <w:u w:val="single"/>
        </w:rPr>
      </w:pPr>
    </w:p>
    <w:p w14:paraId="68D3A6A2" w14:textId="77777777" w:rsidR="00B64EB7" w:rsidRDefault="00B64EB7" w:rsidP="00B42729">
      <w:pPr>
        <w:autoSpaceDE w:val="0"/>
        <w:autoSpaceDN w:val="0"/>
        <w:adjustRightInd w:val="0"/>
        <w:spacing w:after="0" w:line="240" w:lineRule="auto"/>
        <w:ind w:left="2124" w:hanging="2124"/>
        <w:contextualSpacing/>
        <w:rPr>
          <w:sz w:val="24"/>
          <w:szCs w:val="24"/>
          <w:u w:val="single"/>
        </w:rPr>
      </w:pPr>
    </w:p>
    <w:p w14:paraId="6874DC0D" w14:textId="77777777" w:rsidR="00B64EB7" w:rsidRDefault="00B64EB7" w:rsidP="00B42729">
      <w:pPr>
        <w:autoSpaceDE w:val="0"/>
        <w:autoSpaceDN w:val="0"/>
        <w:adjustRightInd w:val="0"/>
        <w:spacing w:after="0" w:line="240" w:lineRule="auto"/>
        <w:ind w:left="2124" w:hanging="2124"/>
        <w:contextualSpacing/>
        <w:rPr>
          <w:sz w:val="24"/>
          <w:szCs w:val="24"/>
          <w:u w:val="single"/>
        </w:rPr>
      </w:pPr>
    </w:p>
    <w:p w14:paraId="12F99B54" w14:textId="77777777" w:rsidR="00B64EB7" w:rsidRDefault="00B64EB7" w:rsidP="00B42729">
      <w:pPr>
        <w:autoSpaceDE w:val="0"/>
        <w:autoSpaceDN w:val="0"/>
        <w:adjustRightInd w:val="0"/>
        <w:spacing w:after="0" w:line="240" w:lineRule="auto"/>
        <w:ind w:left="2124" w:hanging="2124"/>
        <w:contextualSpacing/>
        <w:rPr>
          <w:sz w:val="24"/>
          <w:szCs w:val="24"/>
          <w:u w:val="single"/>
        </w:rPr>
      </w:pPr>
    </w:p>
    <w:sectPr w:rsidR="00B64E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729"/>
    <w:rsid w:val="00037020"/>
    <w:rsid w:val="000B76F3"/>
    <w:rsid w:val="000D4BDC"/>
    <w:rsid w:val="0012049A"/>
    <w:rsid w:val="00121FE4"/>
    <w:rsid w:val="0015081F"/>
    <w:rsid w:val="001F551E"/>
    <w:rsid w:val="00242F55"/>
    <w:rsid w:val="00453B8C"/>
    <w:rsid w:val="004C0189"/>
    <w:rsid w:val="004F03D9"/>
    <w:rsid w:val="00540CE6"/>
    <w:rsid w:val="00655CC5"/>
    <w:rsid w:val="006565EC"/>
    <w:rsid w:val="00656E38"/>
    <w:rsid w:val="00733875"/>
    <w:rsid w:val="00747AF8"/>
    <w:rsid w:val="008561C8"/>
    <w:rsid w:val="00922F01"/>
    <w:rsid w:val="00954008"/>
    <w:rsid w:val="009652EE"/>
    <w:rsid w:val="009B3295"/>
    <w:rsid w:val="00A23053"/>
    <w:rsid w:val="00A5501B"/>
    <w:rsid w:val="00B037F0"/>
    <w:rsid w:val="00B42729"/>
    <w:rsid w:val="00B64EB7"/>
    <w:rsid w:val="00C24E15"/>
    <w:rsid w:val="00C6007B"/>
    <w:rsid w:val="00CE55FA"/>
    <w:rsid w:val="00D40070"/>
    <w:rsid w:val="00DD2370"/>
    <w:rsid w:val="00E5417C"/>
    <w:rsid w:val="00E76772"/>
    <w:rsid w:val="00F842EB"/>
    <w:rsid w:val="00F93350"/>
    <w:rsid w:val="00F96D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135D7"/>
  <w15:chartTrackingRefBased/>
  <w15:docId w15:val="{942D2C61-9705-4964-BCEE-EEECC225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2729"/>
    <w:rPr>
      <w:rFonts w:ascii="Times New Roman" w:eastAsia="Times New Roman" w:hAnsi="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64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81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532C3-AB11-402B-A44A-49F9CDE7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1344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Bräuer HMW RAe</dc:creator>
  <cp:keywords/>
  <dc:description/>
  <cp:lastModifiedBy>Anne-Katrin Seyfarth HMW RAe</cp:lastModifiedBy>
  <cp:revision>2</cp:revision>
  <dcterms:created xsi:type="dcterms:W3CDTF">2025-01-21T14:04:00Z</dcterms:created>
  <dcterms:modified xsi:type="dcterms:W3CDTF">2025-01-21T14:04:00Z</dcterms:modified>
</cp:coreProperties>
</file>