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A9FF" w14:textId="77777777" w:rsidR="00221B68" w:rsidRDefault="00221B68" w:rsidP="00221B68">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82A7EEB" w14:textId="77777777" w:rsidR="00221B68" w:rsidRDefault="00221B68" w:rsidP="00221B68">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3153CAC6" w14:textId="77777777" w:rsidR="00221B68" w:rsidRDefault="00221B68" w:rsidP="00221B68">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Pr>
          <w:rStyle w:val="GSKfett"/>
          <w:sz w:val="32"/>
        </w:rPr>
        <w:br/>
      </w:r>
      <w:r w:rsidRPr="00E51CF4">
        <w:rPr>
          <w:rStyle w:val="GSKfett"/>
          <w:sz w:val="32"/>
        </w:rPr>
        <w:t>Orchideenstieg 14 in 22297 Hamburg</w:t>
      </w:r>
    </w:p>
    <w:p w14:paraId="7696D9C1" w14:textId="38187132" w:rsidR="00221B68" w:rsidRPr="00E51CF4" w:rsidRDefault="00221B68" w:rsidP="00221B68">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 xml:space="preserve">– </w:t>
      </w:r>
      <w:r w:rsidR="00BF6821">
        <w:rPr>
          <w:rStyle w:val="GSKfett"/>
          <w:sz w:val="32"/>
        </w:rPr>
        <w:t>Vorhangfassade</w:t>
      </w:r>
      <w:r>
        <w:rPr>
          <w:rStyle w:val="GSKfett"/>
          <w:sz w:val="32"/>
        </w:rPr>
        <w:t xml:space="preserve"> –</w:t>
      </w:r>
    </w:p>
    <w:p w14:paraId="01766570" w14:textId="47DBFE71" w:rsidR="004E1CFD" w:rsidRPr="002F168C" w:rsidRDefault="004E1CFD"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EndPr>
          <w:rPr>
            <w:rStyle w:val="GSKfett"/>
          </w:rPr>
        </w:sdtEnd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5A458DE4" w:rsidR="00E913CD" w:rsidRPr="00E913CD" w:rsidRDefault="00E913CD" w:rsidP="00E913CD">
      <w:pPr>
        <w:pStyle w:val="GSK2alsText"/>
      </w:pPr>
      <w:r w:rsidRPr="00E913CD">
        <w:t>Der AG beauftragt den AN mit der Ausführung de</w:t>
      </w:r>
      <w:r>
        <w:t xml:space="preserve">s Gewerks </w:t>
      </w:r>
      <w:r w:rsidR="00BF6821">
        <w:rPr>
          <w:rStyle w:val="GSKfett"/>
        </w:rPr>
        <w:t>Vorhangfassade</w:t>
      </w:r>
      <w:r w:rsidRPr="00E913CD">
        <w:t xml:space="preserve"> 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326AAD09" w:rsidR="00E913CD" w:rsidRP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BA6A57">
        <w:t>2</w:t>
      </w:r>
      <w:r w:rsidR="00141BF9">
        <w:rPr>
          <w:highlight w:val="green"/>
        </w:rPr>
        <w:fldChar w:fldCharType="end"/>
      </w:r>
      <w:r>
        <w:t xml:space="preserve"> </w:t>
      </w:r>
      <w:r w:rsidRPr="00E913CD">
        <w:t>näher bezeichneten Vertragsgrundlagen.</w:t>
      </w:r>
    </w:p>
    <w:p w14:paraId="27CDCCD4" w14:textId="5F37DE16" w:rsidR="00236C54" w:rsidRDefault="00E913CD" w:rsidP="00ED3244">
      <w:pPr>
        <w:pStyle w:val="berschrift1"/>
      </w:pPr>
      <w:bookmarkStart w:id="2" w:name="_Ref152057629"/>
      <w:bookmarkStart w:id="3" w:name="_Toc152059795"/>
      <w:r>
        <w:lastRenderedPageBreak/>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t>die Bestimmungen dieses Vertrages</w:t>
      </w:r>
    </w:p>
    <w:p w14:paraId="6C710F7B" w14:textId="5341A225" w:rsidR="00E913CD" w:rsidRPr="00C74ABB" w:rsidRDefault="00C74ABB" w:rsidP="00141BF9">
      <w:pPr>
        <w:pStyle w:val="GSK2alsText"/>
        <w:ind w:firstLine="0"/>
      </w:pPr>
      <w:r>
        <w:t>d</w:t>
      </w:r>
      <w:r w:rsidR="00E913CD" w:rsidRPr="00C74ABB">
        <w:t xml:space="preserve">ie Baugenehmigung vom </w:t>
      </w:r>
      <w:r w:rsidR="00CB07F2">
        <w:t>24.07.2023</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0809F009" w14:textId="3A3A7136" w:rsidR="00576CE7" w:rsidRDefault="00576CE7" w:rsidP="00141BF9">
      <w:pPr>
        <w:pStyle w:val="GSK2alsText"/>
        <w:ind w:firstLine="0"/>
      </w:pPr>
      <w:r>
        <w:t>das Brandschutzgutachten vom</w:t>
      </w:r>
      <w:r w:rsidR="00CB07F2">
        <w:t xml:space="preserve"> 08.01.2022,</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61BECF5B" w14:textId="167E954A" w:rsidR="00576CE7" w:rsidRDefault="00576CE7" w:rsidP="00141BF9">
      <w:pPr>
        <w:pStyle w:val="GSK2alsText"/>
        <w:ind w:firstLine="0"/>
      </w:pPr>
      <w:r>
        <w:t xml:space="preserve">das Schallschutzgutachten vom </w:t>
      </w:r>
      <w:r w:rsidR="00CB07F2">
        <w:t>04.01.2023</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52C0FBAC" w14:textId="6D75F82D" w:rsidR="00E913CD" w:rsidRPr="00C74ABB" w:rsidRDefault="00E913CD" w:rsidP="00141BF9">
      <w:pPr>
        <w:pStyle w:val="GSK2alsText"/>
        <w:ind w:firstLine="0"/>
      </w:pPr>
      <w:r w:rsidRPr="00C74ABB">
        <w:t>das ausgefüllte Leistungsverzeichnis vom</w:t>
      </w:r>
      <w:r w:rsidR="00C74ABB">
        <w:t xml:space="preserve"> </w:t>
      </w:r>
      <w:r w:rsidR="00C74ABB" w:rsidRPr="00C74ABB">
        <w:rPr>
          <w:highlight w:val="yellow"/>
        </w:rPr>
        <w:t>[Datum]</w:t>
      </w:r>
      <w:r w:rsidRPr="00C74ABB">
        <w:t>,</w:t>
      </w:r>
      <w:r w:rsidR="00C74ABB">
        <w:t xml:space="preserve"> </w:t>
      </w:r>
      <w:r w:rsidR="00C74ABB" w:rsidRPr="002F168C">
        <w:rPr>
          <w:rStyle w:val="GSKfett"/>
        </w:rPr>
        <w:fldChar w:fldCharType="begin"/>
      </w:r>
      <w:bookmarkStart w:id="4" w:name="_Ref152057807"/>
      <w:bookmarkEnd w:id="4"/>
      <w:r w:rsidR="00C74ABB" w:rsidRPr="002F168C">
        <w:rPr>
          <w:rStyle w:val="GSKfett"/>
        </w:rPr>
        <w:instrText xml:space="preserve"> LISTNUM listeAnlageAnlage </w:instrText>
      </w:r>
      <w:r w:rsidR="00C74ABB" w:rsidRPr="002F168C">
        <w:rPr>
          <w:rStyle w:val="GSKfett"/>
        </w:rPr>
        <w:fldChar w:fldCharType="end"/>
      </w:r>
    </w:p>
    <w:p w14:paraId="1E1A7B6D" w14:textId="77777777" w:rsidR="000C19DF" w:rsidRPr="00C74ABB" w:rsidRDefault="000C19DF" w:rsidP="000C19DF">
      <w:pPr>
        <w:pStyle w:val="GSK2alsText"/>
        <w:ind w:firstLine="0"/>
      </w:pPr>
      <w:r w:rsidRPr="00C74ABB">
        <w:t xml:space="preserve">die </w:t>
      </w:r>
      <w:r>
        <w:t xml:space="preserve">beiliegenden </w:t>
      </w:r>
      <w:r w:rsidRPr="00C74ABB">
        <w:t>Pl</w:t>
      </w:r>
      <w:r>
        <w:t>a</w:t>
      </w:r>
      <w:r w:rsidRPr="00C74ABB">
        <w:t>n</w:t>
      </w:r>
      <w:r>
        <w:t xml:space="preserve">unterlagen,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7B9C9D91" w14:textId="24A36BE9" w:rsidR="000C19DF" w:rsidRPr="00C74ABB" w:rsidRDefault="000C19DF" w:rsidP="000C19DF">
      <w:pPr>
        <w:pStyle w:val="GSK2alsText"/>
        <w:ind w:firstLine="0"/>
      </w:pPr>
      <w:r w:rsidRPr="00C74ABB">
        <w:t xml:space="preserve">der </w:t>
      </w:r>
      <w:r>
        <w:t>Bauzeitenplan</w:t>
      </w:r>
      <w:r w:rsidR="00BF6821">
        <w:t>, Termine gem. Vorbemerkungen im LV</w:t>
      </w:r>
    </w:p>
    <w:p w14:paraId="403E9438" w14:textId="77777777" w:rsidR="000C19DF" w:rsidRPr="00C74ABB" w:rsidRDefault="000C19DF" w:rsidP="000C19DF">
      <w:pPr>
        <w:pStyle w:val="GSK2alsText"/>
        <w:ind w:firstLine="0"/>
      </w:pPr>
      <w:r w:rsidRPr="00C74ABB">
        <w:t>das Angebotsschreiben des AN vom</w:t>
      </w:r>
      <w:r>
        <w:t xml:space="preserve"> </w:t>
      </w:r>
      <w:r w:rsidRPr="00C74ABB">
        <w:rPr>
          <w:highlight w:val="yellow"/>
        </w:rPr>
        <w:t>[Datum]</w:t>
      </w:r>
      <w:r w:rsidRPr="00C74ABB">
        <w:t>,</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01DCD24B" w14:textId="07F1262E" w:rsidR="00DC62FD" w:rsidRDefault="00DC62FD" w:rsidP="00141BF9">
      <w:pPr>
        <w:pStyle w:val="GSK2alsText"/>
        <w:ind w:firstLine="0"/>
      </w:pPr>
      <w:r>
        <w:t>Formblatt Vertragserfüllungsbürgschaft</w:t>
      </w:r>
      <w:r w:rsidR="00C77591">
        <w:t xml:space="preserve">, </w:t>
      </w:r>
      <w:r w:rsidR="00C77591" w:rsidRPr="002F168C">
        <w:rPr>
          <w:rStyle w:val="GSKfett"/>
        </w:rPr>
        <w:fldChar w:fldCharType="begin"/>
      </w:r>
      <w:bookmarkStart w:id="5" w:name="_Ref152058315"/>
      <w:bookmarkEnd w:id="5"/>
      <w:r w:rsidR="00C77591" w:rsidRPr="002F168C">
        <w:rPr>
          <w:rStyle w:val="GSKfett"/>
        </w:rPr>
        <w:instrText xml:space="preserve"> LISTNUM listeAnlageAnlage </w:instrText>
      </w:r>
      <w:r w:rsidR="00C77591" w:rsidRPr="002F168C">
        <w:rPr>
          <w:rStyle w:val="GSKfett"/>
        </w:rPr>
        <w:fldChar w:fldCharType="end"/>
      </w:r>
    </w:p>
    <w:p w14:paraId="13FFBE6D" w14:textId="36837D41" w:rsidR="00DC62FD" w:rsidRDefault="00DC62FD" w:rsidP="00141BF9">
      <w:pPr>
        <w:pStyle w:val="GSK2alsText"/>
        <w:ind w:firstLine="0"/>
      </w:pPr>
      <w:r>
        <w:t>Formblatt Mängelgewährleistungsbürgschaft</w:t>
      </w:r>
      <w:r w:rsidR="00C77591">
        <w:t xml:space="preserve">, </w:t>
      </w:r>
      <w:r w:rsidR="00C77591" w:rsidRPr="002F168C">
        <w:rPr>
          <w:rStyle w:val="GSKfett"/>
        </w:rPr>
        <w:fldChar w:fldCharType="begin"/>
      </w:r>
      <w:bookmarkStart w:id="6" w:name="_Ref152058410"/>
      <w:bookmarkEnd w:id="6"/>
      <w:r w:rsidR="00C77591" w:rsidRPr="002F168C">
        <w:rPr>
          <w:rStyle w:val="GSKfett"/>
        </w:rPr>
        <w:instrText xml:space="preserve"> LISTNUM listeAnlageAnlage </w:instrText>
      </w:r>
      <w:r w:rsidR="00C77591" w:rsidRPr="002F168C">
        <w:rPr>
          <w:rStyle w:val="GSKfett"/>
        </w:rPr>
        <w:fldChar w:fldCharType="end"/>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7" w:name="_Ref152058276"/>
      <w:bookmarkStart w:id="8" w:name="_Toc152059796"/>
      <w:r w:rsidRPr="00C77591">
        <w:t>Vergütung</w:t>
      </w:r>
      <w:bookmarkEnd w:id="7"/>
      <w:bookmarkEnd w:id="8"/>
    </w:p>
    <w:p w14:paraId="1EC5C126" w14:textId="7249C23E"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BA6A57">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2CDD024A"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BA6A57">
        <w:t>Anlage 4</w:t>
      </w:r>
      <w:r w:rsidR="00141BF9">
        <w:fldChar w:fldCharType="end"/>
      </w:r>
      <w:r w:rsidRPr="00141BF9">
        <w:t>) vereinbart.</w:t>
      </w:r>
    </w:p>
    <w:p w14:paraId="23780E83" w14:textId="3E9978AE" w:rsidR="00E913CD" w:rsidRPr="00141BF9" w:rsidRDefault="00E913CD" w:rsidP="00141BF9">
      <w:pPr>
        <w:pStyle w:val="berschrift1"/>
      </w:pPr>
      <w:bookmarkStart w:id="9" w:name="_Toc152059797"/>
      <w:r w:rsidRPr="00141BF9">
        <w:t>Fristen und Termine</w:t>
      </w:r>
      <w:bookmarkEnd w:id="9"/>
    </w:p>
    <w:p w14:paraId="4FD16B11" w14:textId="522187AF" w:rsidR="00E913CD" w:rsidRPr="00141BF9" w:rsidRDefault="00E913CD" w:rsidP="00141BF9">
      <w:pPr>
        <w:pStyle w:val="GSK2alsText"/>
      </w:pPr>
      <w:r w:rsidRPr="00141BF9">
        <w:t xml:space="preserve">Baubeginn für die vertraglichen Leistungen des AN </w:t>
      </w:r>
      <w:r w:rsidR="00BF6821">
        <w:t>gem. Angaben im LV</w:t>
      </w:r>
    </w:p>
    <w:p w14:paraId="30053CD9" w14:textId="28B0E68D" w:rsidR="00E913CD" w:rsidRPr="00141BF9" w:rsidRDefault="00E913CD" w:rsidP="00141BF9">
      <w:pPr>
        <w:pStyle w:val="GSK2alsText"/>
      </w:pPr>
      <w:r w:rsidRPr="00141BF9">
        <w:t xml:space="preserve">Verbindlicher Fertigstellungstermin für die Leistungen des AN ist der </w:t>
      </w:r>
      <w:r w:rsidR="00BF6821">
        <w:t>30.10.2025</w:t>
      </w:r>
    </w:p>
    <w:p w14:paraId="53FC2A38" w14:textId="5D6F72B4" w:rsidR="00E913CD" w:rsidRPr="00141BF9" w:rsidRDefault="00E913CD" w:rsidP="00141BF9">
      <w:pPr>
        <w:pStyle w:val="GSK2alsText"/>
      </w:pPr>
      <w:r w:rsidRPr="00141BF9">
        <w:t xml:space="preserve">Die vorgenannten Fristen, sowie die </w:t>
      </w:r>
      <w:r w:rsidR="00BF6821">
        <w:t>Fristen im Leistungsverzeichnis</w:t>
      </w:r>
      <w:r w:rsidRPr="00141BF9">
        <w:t>,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744797A2" w:rsidR="00C77591" w:rsidRPr="002F168C" w:rsidRDefault="00C77591" w:rsidP="00C77591">
      <w:pPr>
        <w:pStyle w:val="berschrift1"/>
      </w:pPr>
      <w:bookmarkStart w:id="10" w:name="_Toc152059798"/>
      <w:r>
        <w:lastRenderedPageBreak/>
        <w:t xml:space="preserve">Vertretung </w:t>
      </w:r>
      <w:bookmarkEnd w:id="10"/>
      <w:r w:rsidR="00B13151">
        <w:t>des AN</w:t>
      </w:r>
      <w:r w:rsidR="002057DF">
        <w:t>, Bauleitung des AG</w:t>
      </w:r>
    </w:p>
    <w:p w14:paraId="2B80BC0C" w14:textId="634FDC6C" w:rsidR="00C77591" w:rsidRDefault="00C77591" w:rsidP="002057DF">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09C8136C" w14:textId="1B79A4ED" w:rsidR="002057DF" w:rsidRPr="002057DF" w:rsidRDefault="002057DF" w:rsidP="002057DF">
      <w:pPr>
        <w:pStyle w:val="GSK2alsText"/>
      </w:pPr>
      <w:bookmarkStart w:id="11" w:name="_Hlk152143841"/>
      <w:r>
        <w:t xml:space="preserve">Der bauleitende Objektüberwacher des AG ist </w:t>
      </w:r>
      <w:r w:rsidRPr="002057DF">
        <w:rPr>
          <w:highlight w:val="yellow"/>
        </w:rPr>
        <w:t>[</w:t>
      </w:r>
      <w:r>
        <w:rPr>
          <w:highlight w:val="yellow"/>
        </w:rPr>
        <w:t>Name</w:t>
      </w:r>
      <w:r w:rsidRPr="002057DF">
        <w:rPr>
          <w:highlight w:val="yellow"/>
        </w:rPr>
        <w:t>]</w:t>
      </w:r>
      <w:r>
        <w:t>.</w:t>
      </w:r>
    </w:p>
    <w:p w14:paraId="0BEC9AF0" w14:textId="63EAAE7F" w:rsidR="00E913CD" w:rsidRPr="00141BF9" w:rsidRDefault="00BA255F" w:rsidP="00141BF9">
      <w:pPr>
        <w:pStyle w:val="berschrift1"/>
      </w:pPr>
      <w:bookmarkStart w:id="12" w:name="_Toc152059799"/>
      <w:bookmarkEnd w:id="11"/>
      <w:r>
        <w:t xml:space="preserve">Verbrauchskosten, Bauleistungsversicherung und </w:t>
      </w:r>
      <w:r w:rsidR="00141BF9">
        <w:t>Schuttentsorgung</w:t>
      </w:r>
      <w:bookmarkEnd w:id="12"/>
    </w:p>
    <w:p w14:paraId="650131E8" w14:textId="77777777" w:rsidR="00576CE7" w:rsidRDefault="00576CE7" w:rsidP="00576CE7">
      <w:pPr>
        <w:pStyle w:val="GSK2alsText"/>
        <w:numPr>
          <w:ilvl w:val="1"/>
          <w:numId w:val="30"/>
        </w:numPr>
      </w:pPr>
      <w:r>
        <w:t>Die Kosten des Verbrauchs für Baustrom und Bauwasser für sein Gewerk hat der AN zu tragen. Der Verbrauch von Baustrom und Bauwasser ist anhand von Zwischenzählern zu ermitteln, die der AN zu installieren und für deren Wartung er zu sorgen hat.</w:t>
      </w:r>
    </w:p>
    <w:p w14:paraId="79E471EF" w14:textId="6245F986" w:rsidR="00576CE7" w:rsidRPr="00FE28EB" w:rsidRDefault="00576CE7" w:rsidP="00576CE7">
      <w:pPr>
        <w:pStyle w:val="GSK2alsText"/>
        <w:numPr>
          <w:ilvl w:val="1"/>
          <w:numId w:val="30"/>
        </w:numPr>
      </w:pPr>
      <w:r w:rsidRPr="005663A0">
        <w:t xml:space="preserve">Der </w:t>
      </w:r>
      <w:r>
        <w:t>AG</w:t>
      </w:r>
      <w:r w:rsidRPr="005663A0">
        <w:t xml:space="preserve"> schließt zur Durchführung des Bauvorhabens eine Bauleistungsversicherung mit einer Mindestdeckungssumme in Höhe </w:t>
      </w:r>
      <w:r w:rsidRPr="00A22FC3">
        <w:t xml:space="preserve">von </w:t>
      </w:r>
      <w:r w:rsidR="00A22FC3" w:rsidRPr="00A22FC3">
        <w:t>4.485</w:t>
      </w:r>
      <w:r w:rsidR="00A22FC3">
        <w:t>.</w:t>
      </w:r>
      <w:r w:rsidR="00A22FC3" w:rsidRPr="00A22FC3">
        <w:t>655</w:t>
      </w:r>
      <w:r w:rsidR="00A22FC3">
        <w:t>,-</w:t>
      </w:r>
      <w:r>
        <w:t xml:space="preserve"> EUR</w:t>
      </w:r>
      <w:r w:rsidRPr="005663A0">
        <w:t xml:space="preserve"> ab. Zur Deckung der da</w:t>
      </w:r>
      <w:r>
        <w:t>durch</w:t>
      </w:r>
      <w:r w:rsidRPr="005663A0">
        <w:t xml:space="preserve"> anfallenden Kosten werden von der Netto-Schlussrechnungssumme des </w:t>
      </w:r>
      <w:r w:rsidRPr="00D4385C">
        <w:t>AN 0,</w:t>
      </w:r>
      <w:r w:rsidR="00D4385C" w:rsidRPr="00D4385C">
        <w:t>0</w:t>
      </w:r>
      <w:r w:rsidRPr="00D4385C">
        <w:t>5 %</w:t>
      </w:r>
      <w:r w:rsidR="00A22FC3" w:rsidRPr="00D4385C">
        <w:t xml:space="preserve">, </w:t>
      </w:r>
      <w:r w:rsidRPr="00D4385C">
        <w:t>einbehalten</w:t>
      </w:r>
      <w:r w:rsidRPr="005663A0">
        <w:t xml:space="preserve"> und mit der Werklohnforderung des A</w:t>
      </w:r>
      <w:r>
        <w:t>N</w:t>
      </w:r>
      <w:r w:rsidRPr="005663A0">
        <w:t xml:space="preserve"> verrechnet, maximal wird jedoch ein Betrag in Höhe von</w:t>
      </w:r>
      <w:r>
        <w:t xml:space="preserve"> </w:t>
      </w:r>
      <w:r w:rsidR="00D4385C" w:rsidRPr="00D4385C">
        <w:t>3.741,60</w:t>
      </w:r>
      <w:r>
        <w:t xml:space="preserve"> EUR</w:t>
      </w:r>
      <w:r w:rsidR="00D4385C">
        <w:t xml:space="preserve"> netto</w:t>
      </w:r>
      <w:r w:rsidRPr="005663A0">
        <w:t xml:space="preserve"> vom </w:t>
      </w:r>
      <w:r>
        <w:t>AG</w:t>
      </w:r>
      <w:r w:rsidRPr="005663A0">
        <w:t xml:space="preserve"> einbehalten und verrechnet.</w:t>
      </w:r>
      <w:r>
        <w:t xml:space="preserve"> Der Inhalt des Versicherungsvertrages über die Bauleistungsversicherung ist aus den Versicherungsunterlagen zur Bauleistungsversicherung (</w:t>
      </w:r>
      <w:r>
        <w:fldChar w:fldCharType="begin"/>
      </w:r>
      <w:r>
        <w:instrText xml:space="preserve"> REF _Ref152579065 \r \h </w:instrText>
      </w:r>
      <w:r>
        <w:fldChar w:fldCharType="separate"/>
      </w:r>
      <w:r w:rsidR="00BA6A57">
        <w:rPr>
          <w:b/>
          <w:bCs/>
        </w:rPr>
        <w:t>Fehler! Verweisquelle konnte nicht gefunden werden.</w:t>
      </w:r>
      <w:r>
        <w:fldChar w:fldCharType="end"/>
      </w:r>
      <w:r>
        <w:t>) ersichtlich.</w:t>
      </w:r>
    </w:p>
    <w:p w14:paraId="4BF3EA2A" w14:textId="77777777" w:rsidR="00576CE7" w:rsidRPr="008237B7" w:rsidRDefault="00576CE7" w:rsidP="00576CE7">
      <w:pPr>
        <w:pStyle w:val="GSK2alsText"/>
        <w:numPr>
          <w:ilvl w:val="1"/>
          <w:numId w:val="30"/>
        </w:numPr>
      </w:pPr>
      <w:r w:rsidRPr="00141BF9">
        <w:t xml:space="preserve">Der AN ist verpflichtet, für die Beseitigung seines Bauschutts für sein Gewerk zu sorgen. Kommt er dieser Pflicht trotz angemessener Nachfrist schuldhaft nicht nach, kann der AG den Schutt auf </w:t>
      </w:r>
      <w:r>
        <w:t xml:space="preserve">Kosten des AN </w:t>
      </w:r>
      <w:r w:rsidRPr="00141BF9">
        <w:t>beseitigen lassen.</w:t>
      </w:r>
    </w:p>
    <w:p w14:paraId="4A194CE8" w14:textId="55362489" w:rsidR="00E913CD" w:rsidRPr="008237B7" w:rsidRDefault="00E913CD" w:rsidP="008237B7">
      <w:pPr>
        <w:pStyle w:val="berschrift1"/>
      </w:pPr>
      <w:bookmarkStart w:id="13" w:name="_Toc152059800"/>
      <w:r w:rsidRPr="008237B7">
        <w:t>Sicherheiten</w:t>
      </w:r>
      <w:bookmarkEnd w:id="13"/>
    </w:p>
    <w:p w14:paraId="47A834CD" w14:textId="1B4DCECE" w:rsidR="00E913CD" w:rsidRPr="00587D29" w:rsidRDefault="00E913CD" w:rsidP="00DC023F">
      <w:pPr>
        <w:pStyle w:val="GSK2alsText"/>
        <w:numPr>
          <w:ilvl w:val="1"/>
          <w:numId w:val="30"/>
        </w:numPr>
      </w:pPr>
      <w:bookmarkStart w:id="14" w:name="_Ref130457267"/>
      <w:r w:rsidRPr="00587D29">
        <w:t xml:space="preserve">Der </w:t>
      </w:r>
      <w:r>
        <w:t>AN</w:t>
      </w:r>
      <w:r w:rsidRPr="00587D29">
        <w:t xml:space="preserve"> leistet Sicherheit für die Vertragserfüllung in Höhe von </w:t>
      </w:r>
      <w:r>
        <w:t>fünf Prozent</w:t>
      </w:r>
      <w:r w:rsidRPr="00587D29">
        <w:t xml:space="preserve"> de</w:t>
      </w:r>
      <w:r w:rsidR="008237B7">
        <w:t>r</w:t>
      </w:r>
      <w:r w:rsidRPr="00587D29">
        <w:t xml:space="preserve"> in Ziff</w:t>
      </w:r>
      <w:r>
        <w:t>er</w:t>
      </w:r>
      <w:r w:rsidR="008237B7">
        <w:t xml:space="preserve"> </w:t>
      </w:r>
      <w:r w:rsidR="008237B7">
        <w:fldChar w:fldCharType="begin"/>
      </w:r>
      <w:r w:rsidR="008237B7">
        <w:instrText xml:space="preserve"> REF _Ref152058276 \r \h </w:instrText>
      </w:r>
      <w:r w:rsidR="008237B7">
        <w:fldChar w:fldCharType="separate"/>
      </w:r>
      <w:r w:rsidR="00BA6A57">
        <w:t>3</w:t>
      </w:r>
      <w:r w:rsidR="008237B7">
        <w:fldChar w:fldCharType="end"/>
      </w:r>
      <w:r>
        <w:t xml:space="preserve"> genannten vorläufigen Auftragssumme (netto) ohne etwaige Nachträge </w:t>
      </w:r>
      <w:r w:rsidRPr="00587D29">
        <w:t>(Sicherheit für Vertragserfüllung).</w:t>
      </w:r>
      <w:r>
        <w:t xml:space="preserve"> Die Sicherheit für die Vertragserfüllung ist 18 Werktage nach Baubeginn an den AG zu übergeben. Stellt der AN die geforderte Sicherheit nicht fristgemäß, kann der AG Teilbeträge von gestellten Rechnungen des AN einbehalten, bis die vereinbarte vorgenannte Sicherheitssumme erreicht ist. Insoweit gilt § 17 Abs. 6 Nr. 1 VOB/B. Wird Sicherheit durch Bürgschaft geleistet, ist dafür das Formblatt „Vertragserfüllungsbürgschaft“ </w:t>
      </w:r>
      <w:r w:rsidR="008237B7">
        <w:t>(</w:t>
      </w:r>
      <w:r w:rsidR="008237B7">
        <w:fldChar w:fldCharType="begin"/>
      </w:r>
      <w:r w:rsidR="008237B7">
        <w:instrText xml:space="preserve"> REF _Ref152058315 \r \h </w:instrText>
      </w:r>
      <w:r w:rsidR="008237B7">
        <w:fldChar w:fldCharType="separate"/>
      </w:r>
      <w:r w:rsidR="00BA6A57">
        <w:t>Anlage 7</w:t>
      </w:r>
      <w:r w:rsidR="008237B7">
        <w:fldChar w:fldCharType="end"/>
      </w:r>
      <w:r w:rsidR="008237B7">
        <w:t xml:space="preserve">) </w:t>
      </w:r>
      <w:r>
        <w:t xml:space="preserve">zu verwenden. </w:t>
      </w:r>
      <w:r w:rsidRPr="00587D29">
        <w:t xml:space="preserve">Im Übrigen gilt § 17 VOB/B, insbesondere hat der </w:t>
      </w:r>
      <w:r>
        <w:t>AN</w:t>
      </w:r>
      <w:r w:rsidRPr="00587D29">
        <w:t xml:space="preserve"> die freie Wahlmöglichkeit unter den in § 17 Abs.</w:t>
      </w:r>
      <w:r>
        <w:t> </w:t>
      </w:r>
      <w:r w:rsidRPr="00587D29">
        <w:t>2 VOB/B genannten Arten der Sicherheit und kann eine Sicherheit durch eine andere ersetzen.</w:t>
      </w:r>
      <w:r>
        <w:t xml:space="preserve"> </w:t>
      </w:r>
      <w:r w:rsidRPr="00587D29">
        <w:t xml:space="preserve">Die Sicherheit für die Vertragserfüllung erstreckt sich auf die Erfüllung sämtlicher Verpflichtungen des </w:t>
      </w:r>
      <w:r>
        <w:t>AN</w:t>
      </w:r>
      <w:r w:rsidRPr="00587D29">
        <w:t xml:space="preserve"> aus dem vorliegenden Vertrag, soweit diese Verpflichtungen des </w:t>
      </w:r>
      <w:r>
        <w:t>AN</w:t>
      </w:r>
      <w:r w:rsidRPr="00587D29">
        <w:t xml:space="preserve"> vor der Abnahme der Leistungen des </w:t>
      </w:r>
      <w:r>
        <w:t>AN</w:t>
      </w:r>
      <w:r w:rsidRPr="00587D29">
        <w:t xml:space="preserve"> entstanden sind. Die Sicherung von Ansprüchen des </w:t>
      </w:r>
      <w:r>
        <w:t>AG</w:t>
      </w:r>
      <w:r w:rsidRPr="00587D29">
        <w:t xml:space="preserve"> gegen den </w:t>
      </w:r>
      <w:r>
        <w:t>AN</w:t>
      </w:r>
      <w:r w:rsidRPr="00587D29">
        <w:t xml:space="preserve"> wegen Mängeln, die nach Abnahme der Leistungen des </w:t>
      </w:r>
      <w:r>
        <w:t>AN</w:t>
      </w:r>
      <w:r w:rsidRPr="00587D29">
        <w:t>s entstanden sind, ist vom Sicherungszweck der Sicherheit für die Vertragserfüllung ausdrücklich nicht umfasst.</w:t>
      </w:r>
      <w:r>
        <w:t xml:space="preserve"> </w:t>
      </w:r>
      <w:r w:rsidRPr="00587D29">
        <w:t xml:space="preserve">Die Rückgabe der </w:t>
      </w:r>
      <w:r>
        <w:t xml:space="preserve">Sicherheit für die Vertragserfüllung </w:t>
      </w:r>
      <w:r w:rsidRPr="00587D29">
        <w:t>richtet sich nach § 17 Abs. 8 Nr. 1 VOB/B.</w:t>
      </w:r>
      <w:bookmarkEnd w:id="14"/>
    </w:p>
    <w:p w14:paraId="1AFE721E" w14:textId="2601D531" w:rsidR="00E913CD" w:rsidRPr="00587D29" w:rsidRDefault="00E913CD" w:rsidP="00DC023F">
      <w:pPr>
        <w:pStyle w:val="GSK2alsText"/>
        <w:numPr>
          <w:ilvl w:val="1"/>
          <w:numId w:val="30"/>
        </w:numPr>
      </w:pPr>
      <w:r>
        <w:t xml:space="preserve">Der AN leistet Sicherheit für Mängelansprüche in Höhe von drei Prozent der </w:t>
      </w:r>
      <w:r w:rsidRPr="00587D29">
        <w:t xml:space="preserve">vom </w:t>
      </w:r>
      <w:r>
        <w:t>AG</w:t>
      </w:r>
      <w:r w:rsidRPr="00587D29">
        <w:t xml:space="preserve"> geprüften und festgestellten Netto-Abrechnungssumme der Schlussrechnung des </w:t>
      </w:r>
      <w:r>
        <w:t>AN</w:t>
      </w:r>
      <w:r w:rsidRPr="00587D29">
        <w:t xml:space="preserve">, maximal jedoch </w:t>
      </w:r>
      <w:r>
        <w:t xml:space="preserve">drei Prozent </w:t>
      </w:r>
      <w:r w:rsidRPr="00587D29">
        <w:t xml:space="preserve">der Netto-Abrechnungssumme der Schlussrechnung des </w:t>
      </w:r>
      <w:r>
        <w:t>AN</w:t>
      </w:r>
      <w:r w:rsidRPr="00587D29">
        <w:t xml:space="preserve"> in ihrer objektiv richtigen Höhe</w:t>
      </w:r>
      <w:r>
        <w:t xml:space="preserve"> </w:t>
      </w:r>
      <w:r w:rsidRPr="00587D29">
        <w:t>(</w:t>
      </w:r>
      <w:r>
        <w:t xml:space="preserve">festgestellt </w:t>
      </w:r>
      <w:r w:rsidRPr="00587D29">
        <w:t xml:space="preserve">z.B. </w:t>
      </w:r>
      <w:r w:rsidRPr="00587D29">
        <w:lastRenderedPageBreak/>
        <w:t>durch ein</w:t>
      </w:r>
      <w:r>
        <w:t xml:space="preserve"> </w:t>
      </w:r>
      <w:r w:rsidRPr="00587D29">
        <w:t>rechtskräftige</w:t>
      </w:r>
      <w:r>
        <w:t>s</w:t>
      </w:r>
      <w:r w:rsidRPr="00587D29">
        <w:t xml:space="preserve"> Urteil eines zuständigen Gerichtes)</w:t>
      </w:r>
      <w:r>
        <w:t xml:space="preserve"> </w:t>
      </w:r>
      <w:r w:rsidRPr="00587D29">
        <w:t xml:space="preserve">(Sicherheit für Mängelansprüche). Klarstellend bedeutet dies, dass für den Fall, dass die objektiv richtige Höhe der Netto-Abrechnungssumme der Schlussrechnung des </w:t>
      </w:r>
      <w:r>
        <w:t>AN</w:t>
      </w:r>
      <w:r w:rsidRPr="00587D29">
        <w:t xml:space="preserve"> (z.B. durch Feststellung in einem rechtskräftigen Urteil eines zuständigen Gerichtes) wertmäßig unterhalb der vom </w:t>
      </w:r>
      <w:r>
        <w:t>AG</w:t>
      </w:r>
      <w:r w:rsidRPr="00587D29">
        <w:t xml:space="preserve"> geprüften Netto-Abrechnungssumme der Schlussrechnung liegen sollte, immer diese wertmäßig niedrigere Netto-Abrechnungssumme der Schlussrechnung in ihrer objektiv richtige Höhe für die vorgenannte Berechnung der Sicherheit maßgeblich ist.</w:t>
      </w:r>
      <w:r>
        <w:t xml:space="preserve"> Wird Sicherheit durch Bürgschaft geleistet, ist dafür das Formblatt „</w:t>
      </w:r>
      <w:r w:rsidR="008237B7">
        <w:t>Mängelgewährleistungsbürgschaft</w:t>
      </w:r>
      <w:r>
        <w:t xml:space="preserve">“ </w:t>
      </w:r>
      <w:r w:rsidR="008237B7">
        <w:t>(</w:t>
      </w:r>
      <w:r w:rsidR="008237B7">
        <w:fldChar w:fldCharType="begin"/>
      </w:r>
      <w:r w:rsidR="008237B7">
        <w:instrText xml:space="preserve"> REF _Ref152058410 \r \h </w:instrText>
      </w:r>
      <w:r w:rsidR="008237B7">
        <w:fldChar w:fldCharType="separate"/>
      </w:r>
      <w:r w:rsidR="00BA6A57">
        <w:t>Anlage 8</w:t>
      </w:r>
      <w:r w:rsidR="008237B7">
        <w:fldChar w:fldCharType="end"/>
      </w:r>
      <w:r w:rsidR="008237B7">
        <w:t xml:space="preserve">) </w:t>
      </w:r>
      <w:r>
        <w:t xml:space="preserve">zu verwenden. </w:t>
      </w:r>
      <w:r w:rsidRPr="00587D29">
        <w:t xml:space="preserve">Im Übrigen gilt § 17 VOB/B, insbesondere hat der </w:t>
      </w:r>
      <w:r>
        <w:t>AN</w:t>
      </w:r>
      <w:r w:rsidRPr="00587D29">
        <w:t xml:space="preserve"> die freie Wahlmöglichkeit unter den in § 17 Abs. 2 VOB/B genannten Arten der Sicherheit und kann eine Sicherheit durch eine andere ersetzen. Voraussetzung für </w:t>
      </w:r>
      <w:r>
        <w:t xml:space="preserve">die Geltendmachung der Sicherheit für Mängelansprüche </w:t>
      </w:r>
      <w:r w:rsidRPr="00587D29">
        <w:t xml:space="preserve">ist jedoch, dass der </w:t>
      </w:r>
      <w:r>
        <w:t>AG</w:t>
      </w:r>
      <w:r w:rsidRPr="00587D29">
        <w:t xml:space="preserve"> die vom </w:t>
      </w:r>
      <w:r>
        <w:t>AN</w:t>
      </w:r>
      <w:r w:rsidRPr="00587D29">
        <w:t xml:space="preserve"> geleistete Sicherheit für die Vertragserfüllung an den </w:t>
      </w:r>
      <w:r>
        <w:t>AN</w:t>
      </w:r>
      <w:r w:rsidRPr="00587D29">
        <w:t xml:space="preserve"> zurückgewährt hat. Die Rückgabe der Sicherheit für Mängelansprüche richtet sich nach § 17 Abs. 8 Nr. 2 VOB/B</w:t>
      </w:r>
      <w:r>
        <w:t>.</w:t>
      </w:r>
    </w:p>
    <w:p w14:paraId="34D27FCF" w14:textId="77777777" w:rsidR="00E913CD" w:rsidRPr="008237B7" w:rsidRDefault="00E913CD" w:rsidP="008237B7">
      <w:pPr>
        <w:pStyle w:val="berschrift1"/>
      </w:pPr>
      <w:bookmarkStart w:id="15" w:name="_Toc152059801"/>
      <w:r w:rsidRPr="008237B7">
        <w:t>Technische Spezifikationen</w:t>
      </w:r>
      <w:bookmarkEnd w:id="15"/>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6" w:name="_Toc152059802"/>
      <w:r w:rsidRPr="008237B7">
        <w:t>Bautageberichte und Baubesprechungen</w:t>
      </w:r>
      <w:bookmarkEnd w:id="16"/>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326CD010" w:rsidR="00E913CD" w:rsidRPr="008237B7" w:rsidRDefault="00E913CD" w:rsidP="00DC023F">
      <w:pPr>
        <w:pStyle w:val="GSK2alsText"/>
        <w:numPr>
          <w:ilvl w:val="1"/>
          <w:numId w:val="30"/>
        </w:numPr>
      </w:pPr>
      <w:r w:rsidRPr="008237B7">
        <w:t xml:space="preserve">Der gesamte Geschäfts- und Schriftverkehr des AN in Erfüllung dieses Vertrages ist – soweit im Einzelnen nicht etwas Abweichendes bestimmt ist – mit dem AG zu führen, wobei von jedem Schriftstück und jeder sonstigen Unterlage mit gleicher Post dem </w:t>
      </w:r>
      <w:r w:rsidR="00E746DF">
        <w:t xml:space="preserve">bauleitenden Objektüberwacher </w:t>
      </w:r>
      <w:r w:rsidRPr="008237B7">
        <w:t>direkt eine vollständige Abschrift zu übermitteln ist.</w:t>
      </w:r>
    </w:p>
    <w:p w14:paraId="5594494E" w14:textId="5E860203" w:rsidR="00E913CD" w:rsidRPr="008237B7" w:rsidRDefault="00E913CD" w:rsidP="00DC023F">
      <w:pPr>
        <w:pStyle w:val="GSK2alsText"/>
        <w:numPr>
          <w:ilvl w:val="1"/>
          <w:numId w:val="30"/>
        </w:numPr>
      </w:pPr>
      <w:r w:rsidRPr="008237B7">
        <w:t xml:space="preserve">An den vom AG </w:t>
      </w:r>
      <w:r w:rsidR="002057DF">
        <w:t xml:space="preserve">oder 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7" w:name="_Toc152059803"/>
      <w:r w:rsidRPr="008237B7">
        <w:t>Abrechnung und Zahlungen</w:t>
      </w:r>
      <w:bookmarkEnd w:id="17"/>
    </w:p>
    <w:p w14:paraId="3A645C2A" w14:textId="53305046" w:rsidR="00E913CD" w:rsidRPr="008237B7" w:rsidRDefault="00E913CD" w:rsidP="00DC023F">
      <w:pPr>
        <w:pStyle w:val="GSK2alsText"/>
        <w:numPr>
          <w:ilvl w:val="1"/>
          <w:numId w:val="30"/>
        </w:numPr>
      </w:pPr>
      <w:r w:rsidRPr="008237B7">
        <w:t>Rechnungen sind bei</w:t>
      </w:r>
      <w:r w:rsidR="008237B7">
        <w:t xml:space="preserve"> dem </w:t>
      </w:r>
      <w:r w:rsidR="00E746DF">
        <w:t xml:space="preserve">AG und bei dem </w:t>
      </w:r>
      <w:r w:rsidR="00585C29">
        <w:t xml:space="preserve">bauleitenden </w:t>
      </w:r>
      <w:r w:rsidR="00E746DF">
        <w:t xml:space="preserve">Objektüberwacher </w:t>
      </w:r>
      <w:r w:rsidR="008237B7">
        <w:t xml:space="preserve">jeweils in </w:t>
      </w:r>
      <w:r w:rsidR="00E746DF">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E746DF">
        <w:t xml:space="preserve">mit den Rechnungen </w:t>
      </w:r>
      <w:r w:rsidRPr="008237B7">
        <w:t>einzureichen.</w:t>
      </w:r>
    </w:p>
    <w:p w14:paraId="37309C69" w14:textId="5E5D488B" w:rsidR="00E913CD" w:rsidRPr="008237B7" w:rsidRDefault="008237B7" w:rsidP="00DC023F">
      <w:pPr>
        <w:pStyle w:val="GSK2alsText"/>
        <w:numPr>
          <w:ilvl w:val="1"/>
          <w:numId w:val="30"/>
        </w:numPr>
      </w:pPr>
      <w:r>
        <w:lastRenderedPageBreak/>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25E55804" w:rsidR="008237B7" w:rsidRDefault="00E913CD" w:rsidP="00C27808">
      <w:pPr>
        <w:pStyle w:val="berschrift1"/>
      </w:pPr>
      <w:bookmarkStart w:id="18" w:name="_Toc152059804"/>
      <w:r w:rsidRPr="008237B7">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8"/>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48FED675" w:rsidR="00E913CD" w:rsidRPr="008237B7" w:rsidRDefault="00E913CD" w:rsidP="00DC023F">
      <w:pPr>
        <w:pStyle w:val="GSK2alsText"/>
        <w:numPr>
          <w:ilvl w:val="1"/>
          <w:numId w:val="30"/>
        </w:numPr>
      </w:pPr>
      <w:r w:rsidRPr="008237B7">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180E0743" w:rsidR="00E913CD" w:rsidRDefault="00E913CD" w:rsidP="00DC023F">
      <w:pPr>
        <w:pStyle w:val="GSK2alsText"/>
        <w:numPr>
          <w:ilvl w:val="1"/>
          <w:numId w:val="30"/>
        </w:numPr>
      </w:pPr>
      <w:r w:rsidRPr="008237B7">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sind und es sich um Bauleistungen handelt oder der AN ein im umsatzsteuerlichen Sinn ein im Ausland ansässiges Unternehmen ist. In diesen Fällen ist eine Rechnung ohne USt zu stellen.</w:t>
      </w:r>
    </w:p>
    <w:p w14:paraId="1A69DE8C" w14:textId="2903CEBA" w:rsidR="00730111" w:rsidRDefault="00730111" w:rsidP="00A61A84">
      <w:pPr>
        <w:pStyle w:val="berschrift1"/>
      </w:pPr>
      <w:bookmarkStart w:id="19" w:name="_Hlk152144078"/>
      <w:bookmarkStart w:id="20" w:name="_Toc152059805"/>
      <w:r>
        <w:t>Abnahme</w:t>
      </w:r>
    </w:p>
    <w:p w14:paraId="121E794F" w14:textId="65EFBFA6" w:rsidR="00730111" w:rsidRDefault="00711115" w:rsidP="00836BAB">
      <w:pPr>
        <w:pStyle w:val="GSK2alsText"/>
        <w:numPr>
          <w:ilvl w:val="1"/>
          <w:numId w:val="30"/>
        </w:numPr>
      </w:pPr>
      <w:r>
        <w:t>Der AG verlangt ausdrücklich, dass die Abnahme der Leistungen des AN förmlich erfolgt.</w:t>
      </w:r>
    </w:p>
    <w:p w14:paraId="0CAF8332" w14:textId="58D3F48C" w:rsidR="00EB2F35" w:rsidRPr="00EB2F35" w:rsidRDefault="009C7A0D" w:rsidP="00836BAB">
      <w:pPr>
        <w:pStyle w:val="GSK2alsText"/>
        <w:numPr>
          <w:ilvl w:val="1"/>
          <w:numId w:val="30"/>
        </w:numPr>
      </w:pPr>
      <w:r>
        <w:t xml:space="preserve">Der AG weist den AN darauf hin, dass Teile der </w:t>
      </w:r>
      <w:r w:rsidR="00EB2F35">
        <w:t xml:space="preserve">Leistung des AN </w:t>
      </w:r>
      <w:r w:rsidR="00711115">
        <w:t xml:space="preserve">im Rahmen des </w:t>
      </w:r>
      <w:r>
        <w:t xml:space="preserve">üblichen </w:t>
      </w:r>
      <w:r w:rsidR="00711115">
        <w:t xml:space="preserve">Klinikbetriebes </w:t>
      </w:r>
      <w:r>
        <w:t>bereits vor der förmlichen Abnahme in Betrieb genommen werden. Die Rechte des AN bleiben hierdurch unberührt.</w:t>
      </w:r>
    </w:p>
    <w:bookmarkEnd w:id="19"/>
    <w:p w14:paraId="3171CAD9" w14:textId="376ADCA3" w:rsidR="00E913CD" w:rsidRPr="00A61A84" w:rsidRDefault="00E84459" w:rsidP="00A61A84">
      <w:pPr>
        <w:pStyle w:val="berschrift1"/>
      </w:pPr>
      <w:r>
        <w:t>Verjährungsf</w:t>
      </w:r>
      <w:r w:rsidR="00E913CD" w:rsidRPr="00A61A84">
        <w:t>rist für M</w:t>
      </w:r>
      <w:r>
        <w:t>ä</w:t>
      </w:r>
      <w:r w:rsidR="00E913CD" w:rsidRPr="00A61A84">
        <w:t>ngelansprüche</w:t>
      </w:r>
      <w:bookmarkEnd w:id="20"/>
    </w:p>
    <w:p w14:paraId="757FA8B1" w14:textId="0C95114C" w:rsidR="00E913CD" w:rsidRPr="00A61A84" w:rsidRDefault="00E913CD" w:rsidP="00A61A84">
      <w:pPr>
        <w:spacing w:after="0" w:line="240" w:lineRule="auto"/>
        <w:ind w:left="567"/>
      </w:pPr>
      <w:r w:rsidRPr="00A61A84">
        <w:t xml:space="preserve">Als </w:t>
      </w:r>
      <w:r w:rsidR="00E84459">
        <w:t xml:space="preserve">Verjährungsfrist für </w:t>
      </w:r>
      <w:r w:rsidRPr="00A61A84">
        <w:t>M</w:t>
      </w:r>
      <w:r w:rsidR="00E84459">
        <w:t>ä</w:t>
      </w:r>
      <w:r w:rsidRPr="00A61A84">
        <w:t xml:space="preserve">ngelansprüche </w:t>
      </w:r>
      <w:r w:rsidR="00E84459">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21" w:name="_Toc152059806"/>
      <w:r>
        <w:t>Werbung</w:t>
      </w:r>
      <w:bookmarkEnd w:id="21"/>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22" w:name="_Toc152059807"/>
      <w:r w:rsidRPr="00A61A84">
        <w:t>Sonstige Bestimmungen</w:t>
      </w:r>
      <w:bookmarkEnd w:id="22"/>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221B68">
      <w:footerReference w:type="default" r:id="rId23"/>
      <w:footerReference w:type="first" r:id="rId24"/>
      <w:pgSz w:w="11906" w:h="16838" w:code="9"/>
      <w:pgMar w:top="1702"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03C67" w14:textId="77777777" w:rsidR="00100883" w:rsidRDefault="00100883" w:rsidP="001F69AA">
      <w:pPr>
        <w:spacing w:before="0" w:after="0" w:line="240" w:lineRule="auto"/>
      </w:pPr>
      <w:r>
        <w:separator/>
      </w:r>
    </w:p>
  </w:endnote>
  <w:endnote w:type="continuationSeparator" w:id="0">
    <w:p w14:paraId="1462E379" w14:textId="77777777" w:rsidR="00100883" w:rsidRDefault="00100883"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A4311" w14:textId="7E3B62D6" w:rsidR="00E913CD" w:rsidRPr="001F69AA" w:rsidRDefault="00E913CD" w:rsidP="0089174A">
    <w:pPr>
      <w:pStyle w:val="Fuzeile"/>
    </w:pPr>
    <w:r>
      <w:tab/>
    </w:r>
    <w:r>
      <w:fldChar w:fldCharType="begin"/>
    </w:r>
    <w:r>
      <w:instrText xml:space="preserve"> IF </w:instrText>
    </w:r>
    <w:fldSimple w:instr=" NUMPAGES ">
      <w:r w:rsidR="00BA6A57">
        <w:rPr>
          <w:noProof/>
        </w:rPr>
        <w:instrText>6</w:instrText>
      </w:r>
    </w:fldSimple>
    <w:r>
      <w:instrText xml:space="preserve"> &gt;"1" "Seite </w:instrText>
    </w:r>
    <w:r>
      <w:fldChar w:fldCharType="begin"/>
    </w:r>
    <w:r>
      <w:instrText xml:space="preserve"> PAGE </w:instrText>
    </w:r>
    <w:r>
      <w:fldChar w:fldCharType="separate"/>
    </w:r>
    <w:r w:rsidR="00BA6A57">
      <w:rPr>
        <w:noProof/>
      </w:rPr>
      <w:instrText>6</w:instrText>
    </w:r>
    <w:r>
      <w:fldChar w:fldCharType="end"/>
    </w:r>
    <w:r>
      <w:instrText xml:space="preserve"> von </w:instrText>
    </w:r>
    <w:fldSimple w:instr=" NUMPAGES ">
      <w:r w:rsidR="00BA6A57">
        <w:rPr>
          <w:noProof/>
        </w:rPr>
        <w:instrText>6</w:instrText>
      </w:r>
    </w:fldSimple>
    <w:r>
      <w:instrText>"</w:instrText>
    </w:r>
    <w:r>
      <w:fldChar w:fldCharType="separate"/>
    </w:r>
    <w:r w:rsidR="00BA6A57">
      <w:rPr>
        <w:noProof/>
      </w:rPr>
      <w:t>Seite 6 von 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0A1" w14:textId="12C85198" w:rsidR="00E913CD" w:rsidRDefault="00E913CD" w:rsidP="00EA669C">
    <w:pPr>
      <w:pStyle w:val="Fuzeile"/>
    </w:pPr>
    <w:r>
      <w:tab/>
    </w:r>
    <w:r>
      <w:fldChar w:fldCharType="begin"/>
    </w:r>
    <w:r>
      <w:instrText xml:space="preserve"> IF </w:instrText>
    </w:r>
    <w:fldSimple w:instr=" NUMPAGES ">
      <w:r w:rsidR="00BA6A57">
        <w:rPr>
          <w:noProof/>
        </w:rPr>
        <w:instrText>6</w:instrText>
      </w:r>
    </w:fldSimple>
    <w:r>
      <w:instrText xml:space="preserve"> &gt;"1" "Seite </w:instrText>
    </w:r>
    <w:r>
      <w:fldChar w:fldCharType="begin"/>
    </w:r>
    <w:r>
      <w:instrText xml:space="preserve"> PAGE </w:instrText>
    </w:r>
    <w:r>
      <w:fldChar w:fldCharType="separate"/>
    </w:r>
    <w:r w:rsidR="00BA6A57">
      <w:rPr>
        <w:noProof/>
      </w:rPr>
      <w:instrText>1</w:instrText>
    </w:r>
    <w:r>
      <w:fldChar w:fldCharType="end"/>
    </w:r>
    <w:r>
      <w:instrText xml:space="preserve"> von </w:instrText>
    </w:r>
    <w:fldSimple w:instr=" NUMPAGES ">
      <w:r w:rsidR="00BA6A57">
        <w:rPr>
          <w:noProof/>
        </w:rPr>
        <w:instrText>6</w:instrText>
      </w:r>
    </w:fldSimple>
    <w:r>
      <w:instrText>"</w:instrText>
    </w:r>
    <w:r>
      <w:fldChar w:fldCharType="separate"/>
    </w:r>
    <w:r w:rsidR="00BA6A57">
      <w:rPr>
        <w:noProof/>
      </w:rPr>
      <w:t>Seite 1 von 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4322C" w14:textId="77777777" w:rsidR="00100883" w:rsidRDefault="00100883" w:rsidP="001F69AA">
      <w:pPr>
        <w:spacing w:before="0" w:after="0" w:line="240" w:lineRule="auto"/>
      </w:pPr>
      <w:r>
        <w:separator/>
      </w:r>
    </w:p>
  </w:footnote>
  <w:footnote w:type="continuationSeparator" w:id="0">
    <w:p w14:paraId="2BD4D50D" w14:textId="77777777" w:rsidR="00100883" w:rsidRDefault="00100883"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3"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29636333">
    <w:abstractNumId w:val="16"/>
  </w:num>
  <w:num w:numId="2" w16cid:durableId="1596984230">
    <w:abstractNumId w:val="21"/>
  </w:num>
  <w:num w:numId="3" w16cid:durableId="464464926">
    <w:abstractNumId w:val="8"/>
  </w:num>
  <w:num w:numId="4" w16cid:durableId="389043289">
    <w:abstractNumId w:val="4"/>
  </w:num>
  <w:num w:numId="5" w16cid:durableId="1653950790">
    <w:abstractNumId w:val="2"/>
  </w:num>
  <w:num w:numId="6" w16cid:durableId="654724655">
    <w:abstractNumId w:val="3"/>
  </w:num>
  <w:num w:numId="7" w16cid:durableId="1915047689">
    <w:abstractNumId w:val="9"/>
  </w:num>
  <w:num w:numId="8" w16cid:durableId="1028605955">
    <w:abstractNumId w:val="12"/>
  </w:num>
  <w:num w:numId="9" w16cid:durableId="2093315971">
    <w:abstractNumId w:val="6"/>
  </w:num>
  <w:num w:numId="10" w16cid:durableId="449054985">
    <w:abstractNumId w:val="1"/>
  </w:num>
  <w:num w:numId="11" w16cid:durableId="1797408772">
    <w:abstractNumId w:val="13"/>
  </w:num>
  <w:num w:numId="12" w16cid:durableId="1118910462">
    <w:abstractNumId w:val="22"/>
  </w:num>
  <w:num w:numId="13" w16cid:durableId="1581869737">
    <w:abstractNumId w:val="1"/>
  </w:num>
  <w:num w:numId="14" w16cid:durableId="1509522612">
    <w:abstractNumId w:val="13"/>
  </w:num>
  <w:num w:numId="15" w16cid:durableId="1452089384">
    <w:abstractNumId w:val="22"/>
  </w:num>
  <w:num w:numId="16" w16cid:durableId="476648426">
    <w:abstractNumId w:val="0"/>
  </w:num>
  <w:num w:numId="17" w16cid:durableId="996999865">
    <w:abstractNumId w:val="10"/>
  </w:num>
  <w:num w:numId="18" w16cid:durableId="784886690">
    <w:abstractNumId w:val="5"/>
  </w:num>
  <w:num w:numId="19" w16cid:durableId="1584535231">
    <w:abstractNumId w:val="14"/>
  </w:num>
  <w:num w:numId="20" w16cid:durableId="840586369">
    <w:abstractNumId w:val="20"/>
  </w:num>
  <w:num w:numId="21" w16cid:durableId="198706757">
    <w:abstractNumId w:val="24"/>
  </w:num>
  <w:num w:numId="22" w16cid:durableId="278414073">
    <w:abstractNumId w:val="7"/>
  </w:num>
  <w:num w:numId="23" w16cid:durableId="553277979">
    <w:abstractNumId w:val="18"/>
  </w:num>
  <w:num w:numId="24" w16cid:durableId="705638870">
    <w:abstractNumId w:val="17"/>
  </w:num>
  <w:num w:numId="25" w16cid:durableId="1316378587">
    <w:abstractNumId w:val="23"/>
  </w:num>
  <w:num w:numId="26" w16cid:durableId="501238225">
    <w:abstractNumId w:val="15"/>
  </w:num>
  <w:num w:numId="27" w16cid:durableId="1130896982">
    <w:abstractNumId w:val="19"/>
  </w:num>
  <w:num w:numId="28" w16cid:durableId="1209800153">
    <w:abstractNumId w:val="25"/>
  </w:num>
  <w:num w:numId="29" w16cid:durableId="1678187225">
    <w:abstractNumId w:val="11"/>
  </w:num>
  <w:num w:numId="30" w16cid:durableId="1412779068">
    <w:abstractNumId w:val="12"/>
    <w:lvlOverride w:ilvl="2">
      <w:lvl w:ilvl="2">
        <w:start w:val="1"/>
        <w:numFmt w:val="decimal"/>
        <w:pStyle w:val="berschrift3"/>
        <w:lvlText w:val="%1.%2.%3."/>
        <w:lvlJc w:val="left"/>
        <w:pPr>
          <w:tabs>
            <w:tab w:val="num" w:pos="1277"/>
          </w:tabs>
          <w:ind w:left="1277" w:hanging="567"/>
        </w:pPr>
        <w:rPr>
          <w:rFonts w:hint="default"/>
        </w:rPr>
      </w:lvl>
    </w:lvlOverride>
  </w:num>
  <w:num w:numId="31" w16cid:durableId="1031685194">
    <w:abstractNumId w:val="12"/>
  </w:num>
  <w:num w:numId="32" w16cid:durableId="1238172564">
    <w:abstractNumId w:val="12"/>
  </w:num>
  <w:num w:numId="33" w16cid:durableId="509830341">
    <w:abstractNumId w:val="12"/>
  </w:num>
  <w:num w:numId="34" w16cid:durableId="548034297">
    <w:abstractNumId w:val="12"/>
  </w:num>
  <w:num w:numId="35" w16cid:durableId="1369137526">
    <w:abstractNumId w:val="12"/>
  </w:num>
  <w:num w:numId="36" w16cid:durableId="1032271801">
    <w:abstractNumId w:val="12"/>
    <w:lvlOverride w:ilvl="1">
      <w:lvl w:ilvl="1">
        <w:start w:val="1"/>
        <w:numFmt w:val="decimal"/>
        <w:pStyle w:val="berschrift2"/>
        <w:lvlText w:val="%1.%2."/>
        <w:lvlJc w:val="left"/>
        <w:pPr>
          <w:tabs>
            <w:tab w:val="num" w:pos="567"/>
          </w:tabs>
          <w:ind w:left="567" w:hanging="567"/>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32FA2"/>
    <w:rsid w:val="000442A3"/>
    <w:rsid w:val="0006081F"/>
    <w:rsid w:val="00090141"/>
    <w:rsid w:val="00090969"/>
    <w:rsid w:val="00091211"/>
    <w:rsid w:val="00097D69"/>
    <w:rsid w:val="000A5542"/>
    <w:rsid w:val="000C19DF"/>
    <w:rsid w:val="000D1028"/>
    <w:rsid w:val="000D4131"/>
    <w:rsid w:val="000E4F8C"/>
    <w:rsid w:val="000F3DCC"/>
    <w:rsid w:val="00100883"/>
    <w:rsid w:val="0011431D"/>
    <w:rsid w:val="00120EC1"/>
    <w:rsid w:val="00141BF9"/>
    <w:rsid w:val="00143B90"/>
    <w:rsid w:val="00143FC0"/>
    <w:rsid w:val="00151C04"/>
    <w:rsid w:val="001524A4"/>
    <w:rsid w:val="00177352"/>
    <w:rsid w:val="0018203F"/>
    <w:rsid w:val="0019146A"/>
    <w:rsid w:val="001A21A7"/>
    <w:rsid w:val="001B466C"/>
    <w:rsid w:val="001D3A51"/>
    <w:rsid w:val="001E0021"/>
    <w:rsid w:val="001E78F2"/>
    <w:rsid w:val="001F308B"/>
    <w:rsid w:val="001F4FB0"/>
    <w:rsid w:val="001F69AA"/>
    <w:rsid w:val="002057DF"/>
    <w:rsid w:val="00220E25"/>
    <w:rsid w:val="00221B68"/>
    <w:rsid w:val="00223CA6"/>
    <w:rsid w:val="00236C54"/>
    <w:rsid w:val="0024425E"/>
    <w:rsid w:val="00245216"/>
    <w:rsid w:val="00267AF3"/>
    <w:rsid w:val="00270FDB"/>
    <w:rsid w:val="002B2585"/>
    <w:rsid w:val="002B60D3"/>
    <w:rsid w:val="002C243D"/>
    <w:rsid w:val="002C2983"/>
    <w:rsid w:val="002C2D48"/>
    <w:rsid w:val="002F168C"/>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3250A"/>
    <w:rsid w:val="004351F8"/>
    <w:rsid w:val="004413E0"/>
    <w:rsid w:val="00446351"/>
    <w:rsid w:val="0049621C"/>
    <w:rsid w:val="004A63DA"/>
    <w:rsid w:val="004B0505"/>
    <w:rsid w:val="004C6E03"/>
    <w:rsid w:val="004E1CFD"/>
    <w:rsid w:val="004E6D15"/>
    <w:rsid w:val="004F2070"/>
    <w:rsid w:val="004F4DCC"/>
    <w:rsid w:val="005153EE"/>
    <w:rsid w:val="00517102"/>
    <w:rsid w:val="00523CB5"/>
    <w:rsid w:val="00546A0B"/>
    <w:rsid w:val="0055526A"/>
    <w:rsid w:val="00574191"/>
    <w:rsid w:val="00576984"/>
    <w:rsid w:val="00576CE7"/>
    <w:rsid w:val="00585C29"/>
    <w:rsid w:val="005860CB"/>
    <w:rsid w:val="005949F8"/>
    <w:rsid w:val="005969D2"/>
    <w:rsid w:val="00597531"/>
    <w:rsid w:val="005A45E6"/>
    <w:rsid w:val="005B0D24"/>
    <w:rsid w:val="005B2616"/>
    <w:rsid w:val="005C45F2"/>
    <w:rsid w:val="005E0005"/>
    <w:rsid w:val="005E0AE9"/>
    <w:rsid w:val="005F2F4B"/>
    <w:rsid w:val="00603AB4"/>
    <w:rsid w:val="00603E6F"/>
    <w:rsid w:val="00606F40"/>
    <w:rsid w:val="00631E8F"/>
    <w:rsid w:val="00633C88"/>
    <w:rsid w:val="00653128"/>
    <w:rsid w:val="00654BE8"/>
    <w:rsid w:val="00660187"/>
    <w:rsid w:val="0067316B"/>
    <w:rsid w:val="00676A52"/>
    <w:rsid w:val="0068789D"/>
    <w:rsid w:val="00694CF7"/>
    <w:rsid w:val="006A2856"/>
    <w:rsid w:val="006A4F59"/>
    <w:rsid w:val="006C1D37"/>
    <w:rsid w:val="006C30E1"/>
    <w:rsid w:val="006D7A58"/>
    <w:rsid w:val="007012EC"/>
    <w:rsid w:val="00711115"/>
    <w:rsid w:val="00711BE1"/>
    <w:rsid w:val="00730111"/>
    <w:rsid w:val="00732621"/>
    <w:rsid w:val="00747E36"/>
    <w:rsid w:val="007554D5"/>
    <w:rsid w:val="0077075F"/>
    <w:rsid w:val="00776953"/>
    <w:rsid w:val="007964DE"/>
    <w:rsid w:val="00796ABA"/>
    <w:rsid w:val="007A3BE9"/>
    <w:rsid w:val="007A5578"/>
    <w:rsid w:val="007B6C78"/>
    <w:rsid w:val="007C1CCF"/>
    <w:rsid w:val="007C261D"/>
    <w:rsid w:val="007D740C"/>
    <w:rsid w:val="007F2E30"/>
    <w:rsid w:val="00803892"/>
    <w:rsid w:val="00803D49"/>
    <w:rsid w:val="00817931"/>
    <w:rsid w:val="008237B7"/>
    <w:rsid w:val="00832B73"/>
    <w:rsid w:val="00836BAB"/>
    <w:rsid w:val="008571BC"/>
    <w:rsid w:val="0086603D"/>
    <w:rsid w:val="00885089"/>
    <w:rsid w:val="0089174A"/>
    <w:rsid w:val="00891AE6"/>
    <w:rsid w:val="00897F70"/>
    <w:rsid w:val="008A245C"/>
    <w:rsid w:val="008B1B20"/>
    <w:rsid w:val="008C57EC"/>
    <w:rsid w:val="008C6836"/>
    <w:rsid w:val="008F109C"/>
    <w:rsid w:val="009000CB"/>
    <w:rsid w:val="00910264"/>
    <w:rsid w:val="009111B9"/>
    <w:rsid w:val="009373C1"/>
    <w:rsid w:val="00944776"/>
    <w:rsid w:val="00954EC3"/>
    <w:rsid w:val="00975872"/>
    <w:rsid w:val="009775C4"/>
    <w:rsid w:val="00997242"/>
    <w:rsid w:val="009A4C55"/>
    <w:rsid w:val="009C7A0D"/>
    <w:rsid w:val="009E085D"/>
    <w:rsid w:val="009F40AA"/>
    <w:rsid w:val="009F5E16"/>
    <w:rsid w:val="00A034B3"/>
    <w:rsid w:val="00A04A4B"/>
    <w:rsid w:val="00A213C4"/>
    <w:rsid w:val="00A22FC3"/>
    <w:rsid w:val="00A33862"/>
    <w:rsid w:val="00A40A0E"/>
    <w:rsid w:val="00A43D0D"/>
    <w:rsid w:val="00A570B6"/>
    <w:rsid w:val="00A61A84"/>
    <w:rsid w:val="00A62122"/>
    <w:rsid w:val="00A82A5D"/>
    <w:rsid w:val="00A93909"/>
    <w:rsid w:val="00AB0AD9"/>
    <w:rsid w:val="00AC7782"/>
    <w:rsid w:val="00AD03FF"/>
    <w:rsid w:val="00AD78D8"/>
    <w:rsid w:val="00AF1B18"/>
    <w:rsid w:val="00B13151"/>
    <w:rsid w:val="00B34A00"/>
    <w:rsid w:val="00B73856"/>
    <w:rsid w:val="00BA0205"/>
    <w:rsid w:val="00BA1061"/>
    <w:rsid w:val="00BA255F"/>
    <w:rsid w:val="00BA482A"/>
    <w:rsid w:val="00BA5BCC"/>
    <w:rsid w:val="00BA6A57"/>
    <w:rsid w:val="00BA7FD8"/>
    <w:rsid w:val="00BB645C"/>
    <w:rsid w:val="00BC0659"/>
    <w:rsid w:val="00BC0EF7"/>
    <w:rsid w:val="00BC4FB6"/>
    <w:rsid w:val="00BD0257"/>
    <w:rsid w:val="00BF4A8A"/>
    <w:rsid w:val="00BF6821"/>
    <w:rsid w:val="00BF7C92"/>
    <w:rsid w:val="00C04066"/>
    <w:rsid w:val="00C12574"/>
    <w:rsid w:val="00C17560"/>
    <w:rsid w:val="00C17AD8"/>
    <w:rsid w:val="00C245F9"/>
    <w:rsid w:val="00C34155"/>
    <w:rsid w:val="00C37FB7"/>
    <w:rsid w:val="00C417DF"/>
    <w:rsid w:val="00C4271A"/>
    <w:rsid w:val="00C452A4"/>
    <w:rsid w:val="00C74ABB"/>
    <w:rsid w:val="00C77591"/>
    <w:rsid w:val="00C91239"/>
    <w:rsid w:val="00C93CD5"/>
    <w:rsid w:val="00CB07F2"/>
    <w:rsid w:val="00CE519A"/>
    <w:rsid w:val="00CF2C49"/>
    <w:rsid w:val="00D01CAB"/>
    <w:rsid w:val="00D02C8C"/>
    <w:rsid w:val="00D037CC"/>
    <w:rsid w:val="00D04299"/>
    <w:rsid w:val="00D14F61"/>
    <w:rsid w:val="00D17238"/>
    <w:rsid w:val="00D21C6A"/>
    <w:rsid w:val="00D30DE8"/>
    <w:rsid w:val="00D35B22"/>
    <w:rsid w:val="00D37B36"/>
    <w:rsid w:val="00D4385C"/>
    <w:rsid w:val="00D46818"/>
    <w:rsid w:val="00D52299"/>
    <w:rsid w:val="00D6090F"/>
    <w:rsid w:val="00D621E2"/>
    <w:rsid w:val="00D74705"/>
    <w:rsid w:val="00D96923"/>
    <w:rsid w:val="00DB2B24"/>
    <w:rsid w:val="00DC023F"/>
    <w:rsid w:val="00DC62FD"/>
    <w:rsid w:val="00DD38D6"/>
    <w:rsid w:val="00DD56BF"/>
    <w:rsid w:val="00DF3E97"/>
    <w:rsid w:val="00E20DD9"/>
    <w:rsid w:val="00E30E01"/>
    <w:rsid w:val="00E455FB"/>
    <w:rsid w:val="00E746DF"/>
    <w:rsid w:val="00E77FC2"/>
    <w:rsid w:val="00E8218A"/>
    <w:rsid w:val="00E84459"/>
    <w:rsid w:val="00E863E4"/>
    <w:rsid w:val="00E913CD"/>
    <w:rsid w:val="00EA669C"/>
    <w:rsid w:val="00EB2F35"/>
    <w:rsid w:val="00ED295D"/>
    <w:rsid w:val="00ED3244"/>
    <w:rsid w:val="00ED575F"/>
    <w:rsid w:val="00ED5F86"/>
    <w:rsid w:val="00EF3B31"/>
    <w:rsid w:val="00EF6401"/>
    <w:rsid w:val="00EF7AFB"/>
    <w:rsid w:val="00F1257C"/>
    <w:rsid w:val="00F20EC8"/>
    <w:rsid w:val="00F215F3"/>
    <w:rsid w:val="00F27390"/>
    <w:rsid w:val="00F477C3"/>
    <w:rsid w:val="00F73BA9"/>
    <w:rsid w:val="00F74337"/>
    <w:rsid w:val="00F83E74"/>
    <w:rsid w:val="00F845FB"/>
    <w:rsid w:val="00F856A9"/>
    <w:rsid w:val="00F86501"/>
    <w:rsid w:val="00F95D77"/>
    <w:rsid w:val="00FB19F4"/>
    <w:rsid w:val="00FB287F"/>
    <w:rsid w:val="00FB4590"/>
    <w:rsid w:val="00FC2CE1"/>
    <w:rsid w:val="00FC423A"/>
    <w:rsid w:val="00FD7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8"/>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llensen\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A5A03"/>
    <w:rsid w:val="005A09CC"/>
    <w:rsid w:val="007265C3"/>
    <w:rsid w:val="00A2059C"/>
    <w:rsid w:val="00BC67FE"/>
    <w:rsid w:val="00F27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4.xml><?xml version="1.0" encoding="utf-8"?>
<GSK xmlns="http://www.office-performance.de/VertragEinsprachig">
  <PositionPartei1>AG</PositionPartei1>
  <PositionPartei2>AN</PositionPartei2>
</GSK>
</file>

<file path=customXml/item5.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70C1A1-DD20-45AE-A02A-0EB1D2F14995}">
  <ds:schemaRefs>
    <ds:schemaRef ds:uri="http://schemas.openxmlformats.org/officeDocument/2006/bibliography"/>
  </ds:schemaRefs>
</ds:datastoreItem>
</file>

<file path=customXml/itemProps2.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3.xml><?xml version="1.0" encoding="utf-8"?>
<ds:datastoreItem xmlns:ds="http://schemas.openxmlformats.org/officeDocument/2006/customXml" ds:itemID="{4A33ED70-5FAD-4FED-A639-6A13D889695C}">
  <ds:schemaRefs>
    <ds:schemaRef ds:uri="http://schemas.microsoft.com/office/2006/metadata/properties"/>
    <ds:schemaRef ds:uri="http://schemas.microsoft.com/office/infopath/2007/PartnerControls"/>
    <ds:schemaRef ds:uri="http://schemas.datagroup.de/gsk/docfuture"/>
  </ds:schemaRefs>
</ds:datastoreItem>
</file>

<file path=customXml/itemProps4.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5.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E5FACB-D5C8-426E-B6CF-E2019EDA1C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6</Pages>
  <Words>1551</Words>
  <Characters>9777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6</cp:revision>
  <cp:lastPrinted>2025-04-18T11:39:00Z</cp:lastPrinted>
  <dcterms:created xsi:type="dcterms:W3CDTF">2024-01-17T13:19:00Z</dcterms:created>
  <dcterms:modified xsi:type="dcterms:W3CDTF">2025-04-18T11:39:00Z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